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F35B3" w14:textId="77777777" w:rsidR="0022050D" w:rsidRDefault="00750E3C">
      <w:pPr>
        <w:framePr w:w="11904" w:h="3979" w:vSpace="994" w:wrap="notBeside" w:vAnchor="text" w:hAnchor="text" w:x="-1480" w:y="1"/>
        <w:rPr>
          <w:sz w:val="2"/>
        </w:rPr>
      </w:pPr>
      <w:r>
        <w:rPr>
          <w:noProof/>
          <w:lang w:val="pl-PL"/>
        </w:rPr>
        <w:drawing>
          <wp:inline distT="0" distB="0" distL="0" distR="0" wp14:anchorId="6E9EB624" wp14:editId="59BE75DE">
            <wp:extent cx="7559040" cy="2529840"/>
            <wp:effectExtent l="0" t="0" r="0" b="0"/>
            <wp:docPr id="1" name="Picutre 1 - Kto odpowiedział?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djęci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559040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BEFF8" w14:textId="77777777" w:rsidR="0022050D" w:rsidRDefault="0044553C">
      <w:pPr>
        <w:spacing w:line="1" w:lineRule="exact"/>
      </w:pPr>
      <w:r>
        <w:rPr>
          <w:noProof/>
          <w:lang w:val="pl-PL"/>
        </w:rPr>
        <mc:AlternateContent>
          <mc:Choice Requires="wps">
            <w:drawing>
              <wp:anchor distT="0" distB="0" distL="0" distR="4789805" simplePos="0" relativeHeight="125829382" behindDoc="0" locked="0" layoutInCell="1" allowOverlap="1" wp14:anchorId="7ABCA9F9" wp14:editId="3D4837A8">
                <wp:simplePos x="0" y="0"/>
                <wp:positionH relativeFrom="column">
                  <wp:posOffset>1922780</wp:posOffset>
                </wp:positionH>
                <wp:positionV relativeFrom="paragraph">
                  <wp:posOffset>2708910</wp:posOffset>
                </wp:positionV>
                <wp:extent cx="2526030" cy="447040"/>
                <wp:effectExtent l="0" t="0" r="0" b="0"/>
                <wp:wrapTopAndBottom/>
                <wp:docPr id="6" name="Kształ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6030" cy="447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241FC0" w14:textId="79B50FD0" w:rsidR="0022050D" w:rsidRDefault="00750E3C">
                            <w:pPr>
                              <w:pStyle w:val="Picturecaption10"/>
                              <w:spacing w:line="240" w:lineRule="auto"/>
                              <w:ind w:firstLine="0"/>
                              <w:rPr>
                                <w:sz w:val="36"/>
                              </w:rPr>
                            </w:pPr>
                            <w:r>
                              <w:rPr>
                                <w:rStyle w:val="Picturecaption1"/>
                                <w:b/>
                                <w:color w:val="004494"/>
                                <w:sz w:val="36"/>
                                <w:u w:val="single"/>
                              </w:rPr>
                              <w:t>Regulamin</w:t>
                            </w:r>
                            <w:r w:rsidR="0044553C">
                              <w:rPr>
                                <w:rStyle w:val="Picturecaption1"/>
                                <w:b/>
                                <w:color w:val="004494"/>
                                <w:sz w:val="36"/>
                                <w:u w:val="single"/>
                              </w:rPr>
                              <w:t xml:space="preserve"> wewnętrzny</w:t>
                            </w:r>
                            <w:r>
                              <w:rPr>
                                <w:rStyle w:val="Picturecaption1"/>
                                <w:b/>
                                <w:color w:val="004494"/>
                                <w:sz w:val="36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BCA9F9" id="_x0000_t202" coordsize="21600,21600" o:spt="202" path="m,l,21600r21600,l21600,xe">
                <v:stroke joinstyle="miter"/>
                <v:path gradientshapeok="t" o:connecttype="rect"/>
              </v:shapetype>
              <v:shape id="Kształt 6" o:spid="_x0000_s1026" type="#_x0000_t202" style="position:absolute;margin-left:151.4pt;margin-top:213.3pt;width:198.9pt;height:35.2pt;z-index:125829382;visibility:visible;mso-wrap-style:square;mso-width-percent:0;mso-height-percent:0;mso-wrap-distance-left:0;mso-wrap-distance-top:0;mso-wrap-distance-right:377.1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" filled="f" stroked="f">
                <v:textbox inset="0,0,0,0">
                  <w:txbxContent>
                    <w:p w14:paraId="04241FC0" w14:textId="79B50FD0" w:rsidR="0022050D" w:rsidRDefault="00750E3C">
                      <w:pPr>
                        <w:pStyle w:val="Picturecaption10"/>
                        <w:spacing w:line="240" w:lineRule="auto"/>
                        <w:ind w:firstLine="0"/>
                        <w:rPr>
                          <w:sz w:val="36"/>
                        </w:rPr>
                      </w:pPr>
                      <w:r>
                        <w:rPr>
                          <w:rStyle w:val="Picturecaption1"/>
                          <w:b/>
                          <w:color w:val="004494"/>
                          <w:sz w:val="36"/>
                          <w:u w:val="single"/>
                        </w:rPr>
                        <w:t>Regulamin</w:t>
                      </w:r>
                      <w:r w:rsidR="0044553C">
                        <w:rPr>
                          <w:rStyle w:val="Picturecaption1"/>
                          <w:b/>
                          <w:color w:val="004494"/>
                          <w:sz w:val="36"/>
                          <w:u w:val="single"/>
                        </w:rPr>
                        <w:t xml:space="preserve"> wewnętrzny</w:t>
                      </w:r>
                      <w:r>
                        <w:rPr>
                          <w:rStyle w:val="Picturecaption1"/>
                          <w:b/>
                          <w:color w:val="004494"/>
                          <w:sz w:val="36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750E3C">
        <w:rPr>
          <w:noProof/>
          <w:lang w:val="pl-PL"/>
        </w:rPr>
        <mc:AlternateContent>
          <mc:Choice Requires="wps">
            <w:drawing>
              <wp:anchor distT="0" distB="0" distL="0" distR="5384165" simplePos="0" relativeHeight="125829378" behindDoc="0" locked="0" layoutInCell="1" allowOverlap="1" wp14:anchorId="3371F7DD" wp14:editId="363E9D2C">
                <wp:simplePos x="0" y="0"/>
                <wp:positionH relativeFrom="column">
                  <wp:posOffset>4488180</wp:posOffset>
                </wp:positionH>
                <wp:positionV relativeFrom="paragraph">
                  <wp:posOffset>554990</wp:posOffset>
                </wp:positionV>
                <wp:extent cx="1234440" cy="121920"/>
                <wp:effectExtent l="0" t="0" r="0" b="0"/>
                <wp:wrapTopAndBottom/>
                <wp:docPr id="2" name="Kształ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121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8743D3" w14:textId="77777777" w:rsidR="0022050D" w:rsidRDefault="00750E3C">
                            <w:pPr>
                              <w:pStyle w:val="Picturecaption10"/>
                              <w:spacing w:line="240" w:lineRule="auto"/>
                              <w:ind w:firstLine="0"/>
                            </w:pPr>
                            <w:r>
                              <w:rPr>
                                <w:rStyle w:val="Picturecaption1"/>
                              </w:rPr>
                              <w:t>Europejska Rada Ochrony Danych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371F7DD" id="Kształt 2" o:spid="_x0000_s1027" type="#_x0000_t202" style="position:absolute;margin-left:353.4pt;margin-top:43.7pt;width:97.2pt;height:9.6pt;z-index:125829378;visibility:visible;mso-wrap-style:square;mso-wrap-distance-left:0;mso-wrap-distance-top:0;mso-wrap-distance-right:423.9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" filled="f" stroked="f">
                <v:textbox inset="0,0,0,0">
                  <w:txbxContent>
                    <w:p w14:paraId="2B8743D3" w14:textId="77777777" w:rsidR="0022050D" w:rsidRDefault="00750E3C">
                      <w:pPr>
                        <w:pStyle w:val="Picturecaption10"/>
                        <w:spacing w:line="240" w:lineRule="auto"/>
                        <w:ind w:firstLine="0"/>
                      </w:pPr>
                      <w:r>
                        <w:rPr>
                          <w:rStyle w:val="Picturecaption1"/>
                        </w:rPr>
                        <w:t>Europejska Rada Ochrony Danych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750E3C">
        <w:rPr>
          <w:noProof/>
          <w:lang w:val="pl-PL"/>
        </w:rPr>
        <mc:AlternateContent>
          <mc:Choice Requires="wps">
            <w:drawing>
              <wp:anchor distT="0" distB="0" distL="0" distR="6085205" simplePos="0" relativeHeight="125829380" behindDoc="0" locked="0" layoutInCell="1" allowOverlap="1" wp14:anchorId="1B206A31" wp14:editId="45969F09">
                <wp:simplePos x="0" y="0"/>
                <wp:positionH relativeFrom="column">
                  <wp:posOffset>-544195</wp:posOffset>
                </wp:positionH>
                <wp:positionV relativeFrom="paragraph">
                  <wp:posOffset>890270</wp:posOffset>
                </wp:positionV>
                <wp:extent cx="533400" cy="612775"/>
                <wp:effectExtent l="0" t="0" r="0" b="0"/>
                <wp:wrapTopAndBottom/>
                <wp:docPr id="4" name="Kształ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612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E2078E" w14:textId="77777777" w:rsidR="0022050D" w:rsidRDefault="00750E3C">
                            <w:pPr>
                              <w:pStyle w:val="Picturecaption10"/>
                              <w:pBdr>
                                <w:top w:val="single" w:sz="0" w:space="0" w:color="3B83AA"/>
                                <w:left w:val="single" w:sz="0" w:space="0" w:color="3B83AA"/>
                                <w:bottom w:val="single" w:sz="0" w:space="0" w:color="3B83AA"/>
                                <w:right w:val="single" w:sz="0" w:space="0" w:color="3B83AA"/>
                              </w:pBdr>
                              <w:shd w:val="clear" w:color="auto" w:fill="3B83AA"/>
                              <w:spacing w:line="0" w:lineRule="atLeast"/>
                              <w:ind w:firstLine="380"/>
                              <w:rPr>
                                <w:sz w:val="36"/>
                              </w:rPr>
                            </w:pPr>
                            <w:r>
                              <w:rPr>
                                <w:rStyle w:val="Picturecaption1"/>
                                <w:i/>
                                <w:color w:val="93D2DE"/>
                                <w:sz w:val="72"/>
                              </w:rPr>
                              <w:t xml:space="preserve">0 </w:t>
                            </w:r>
                            <w:r>
                              <w:rPr>
                                <w:rStyle w:val="Picturecaption1"/>
                                <w:b/>
                                <w:color w:val="93D2DE"/>
                                <w:sz w:val="36"/>
                              </w:rPr>
                              <w:t>* 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B206A31" id="Kształt 4" o:spid="_x0000_s1028" type="#_x0000_t202" style="position:absolute;margin-left:-42.85pt;margin-top:70.1pt;width:42pt;height:48.25pt;z-index:125829380;visibility:visible;mso-wrap-style:square;mso-wrap-distance-left:0;mso-wrap-distance-top:0;mso-wrap-distance-right:479.1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" filled="f" stroked="f">
                <v:textbox inset="0,0,0,0">
                  <w:txbxContent>
                    <w:p w14:paraId="17E2078E" w14:textId="77777777" w:rsidR="0022050D" w:rsidRDefault="00750E3C">
                      <w:pPr>
                        <w:pStyle w:val="Picturecaption10"/>
                        <w:pBdr>
                          <w:top w:val="single" w:sz="0" w:space="0" w:color="3B83AA"/>
                          <w:left w:val="single" w:sz="0" w:space="0" w:color="3B83AA"/>
                          <w:bottom w:val="single" w:sz="0" w:space="0" w:color="3B83AA"/>
                          <w:right w:val="single" w:sz="0" w:space="0" w:color="3B83AA"/>
                        </w:pBdr>
                        <w:shd w:val="clear" w:color="auto" w:fill="3B83AA"/>
                        <w:spacing w:line="0" w:lineRule="atLeast"/>
                        <w:ind w:firstLine="380"/>
                        <w:rPr>
                          <w:sz w:val="36"/>
                        </w:rPr>
                      </w:pPr>
                      <w:r>
                        <w:rPr>
                          <w:rStyle w:val="Picturecaption1"/>
                          <w:i/>
                          <w:color w:val="93D2DE"/>
                          <w:sz w:val="72"/>
                        </w:rPr>
                        <w:t xml:space="preserve">0 </w:t>
                      </w:r>
                      <w:r>
                        <w:rPr>
                          <w:rStyle w:val="Picturecaption1"/>
                          <w:b/>
                          <w:color w:val="93D2DE"/>
                          <w:sz w:val="36"/>
                        </w:rPr>
                        <w:t>* 1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091ABB3" w14:textId="77777777" w:rsidR="0022050D" w:rsidRDefault="0044553C">
      <w:pPr>
        <w:pStyle w:val="Bodytext20"/>
      </w:pPr>
      <w:r>
        <w:rPr>
          <w:rStyle w:val="Bodytext2"/>
          <w:b/>
        </w:rPr>
        <w:t>dotyczący</w:t>
      </w:r>
      <w:r w:rsidR="00750E3C">
        <w:rPr>
          <w:rStyle w:val="Bodytext2"/>
          <w:b/>
        </w:rPr>
        <w:t xml:space="preserve"> współpracy i odpowiednich ról krajowych organów nadzorczych oraz</w:t>
      </w:r>
      <w:r w:rsidR="00750E3C">
        <w:rPr>
          <w:rStyle w:val="Bodytext2"/>
          <w:b/>
        </w:rPr>
        <w:br/>
        <w:t>Sekretariat</w:t>
      </w:r>
      <w:r>
        <w:rPr>
          <w:rStyle w:val="Bodytext2"/>
          <w:b/>
        </w:rPr>
        <w:t>u</w:t>
      </w:r>
      <w:r w:rsidR="00750E3C">
        <w:rPr>
          <w:rStyle w:val="Bodytext2"/>
          <w:b/>
        </w:rPr>
        <w:t xml:space="preserve"> EROD w odniesieniu do </w:t>
      </w:r>
      <w:r>
        <w:rPr>
          <w:rStyle w:val="Bodytext2"/>
          <w:b/>
        </w:rPr>
        <w:t>s</w:t>
      </w:r>
      <w:r w:rsidR="00750E3C">
        <w:rPr>
          <w:rStyle w:val="Bodytext2"/>
          <w:b/>
        </w:rPr>
        <w:t xml:space="preserve">kładania </w:t>
      </w:r>
      <w:r w:rsidR="00750E3C">
        <w:rPr>
          <w:rStyle w:val="Bodytext2"/>
          <w:b/>
        </w:rPr>
        <w:br/>
        <w:t xml:space="preserve">skargi w ramach mechanizmu dochodzenia roszczeń dostępnego dla </w:t>
      </w:r>
      <w:r w:rsidR="00750E3C">
        <w:rPr>
          <w:rStyle w:val="Bodytext2"/>
          <w:b/>
        </w:rPr>
        <w:br/>
        <w:t xml:space="preserve">osób fizycznych </w:t>
      </w:r>
      <w:r>
        <w:rPr>
          <w:rStyle w:val="Bodytext2"/>
          <w:b/>
        </w:rPr>
        <w:t xml:space="preserve">z UE </w:t>
      </w:r>
      <w:r w:rsidR="00750E3C">
        <w:rPr>
          <w:rStyle w:val="Bodytext2"/>
          <w:b/>
        </w:rPr>
        <w:t xml:space="preserve">w związku z domniemanymi naruszeniami prawa Stanów Zjednoczonych </w:t>
      </w:r>
      <w:r w:rsidR="00750E3C">
        <w:rPr>
          <w:rStyle w:val="Bodytext2"/>
          <w:b/>
        </w:rPr>
        <w:br/>
        <w:t xml:space="preserve">w odniesieniu do ich danych gromadzonych przez władze Stanów Zjednoczonych </w:t>
      </w:r>
      <w:r w:rsidR="00750E3C">
        <w:rPr>
          <w:rStyle w:val="Bodytext2"/>
          <w:b/>
        </w:rPr>
        <w:br/>
      </w:r>
      <w:r>
        <w:rPr>
          <w:rStyle w:val="Bodytext2"/>
          <w:b/>
        </w:rPr>
        <w:t>w</w:t>
      </w:r>
      <w:r w:rsidR="00750E3C">
        <w:rPr>
          <w:rStyle w:val="Bodytext2"/>
          <w:b/>
        </w:rPr>
        <w:t>łaściw</w:t>
      </w:r>
      <w:r>
        <w:rPr>
          <w:rStyle w:val="Bodytext2"/>
          <w:b/>
        </w:rPr>
        <w:t>e</w:t>
      </w:r>
      <w:r w:rsidR="00750E3C">
        <w:rPr>
          <w:rStyle w:val="Bodytext2"/>
          <w:b/>
        </w:rPr>
        <w:t xml:space="preserve"> w sprawach bezpieczeństwa narodowego</w:t>
      </w:r>
    </w:p>
    <w:p w14:paraId="4F74CB1E" w14:textId="77777777" w:rsidR="0022050D" w:rsidRDefault="00750E3C">
      <w:pPr>
        <w:pStyle w:val="Bodytext30"/>
        <w:sectPr w:rsidR="0022050D">
          <w:pgSz w:w="11900" w:h="16840"/>
          <w:pgMar w:top="1" w:right="1481" w:bottom="1" w:left="1476" w:header="0" w:footer="3" w:gutter="0"/>
          <w:pgNumType w:start="1"/>
          <w:cols w:space="720"/>
          <w:noEndnote/>
          <w:docGrid w:linePitch="360"/>
        </w:sectPr>
      </w:pPr>
      <w:r>
        <w:rPr>
          <w:rStyle w:val="Bodytext3"/>
          <w:b/>
        </w:rPr>
        <w:t>Przyjęt</w:t>
      </w:r>
      <w:r w:rsidR="0044553C">
        <w:rPr>
          <w:rStyle w:val="Bodytext3"/>
          <w:b/>
        </w:rPr>
        <w:t>y</w:t>
      </w:r>
      <w:r>
        <w:rPr>
          <w:rStyle w:val="Bodytext3"/>
          <w:b/>
        </w:rPr>
        <w:t xml:space="preserve"> 17 kwietnia 2024 r.</w:t>
      </w:r>
    </w:p>
    <w:p w14:paraId="4EA1169D" w14:textId="77777777" w:rsidR="0022050D" w:rsidRDefault="00750E3C">
      <w:pPr>
        <w:pStyle w:val="Bodytext10"/>
        <w:spacing w:before="80" w:after="140"/>
        <w:jc w:val="both"/>
      </w:pPr>
      <w:r>
        <w:rPr>
          <w:rStyle w:val="Bodytext1"/>
        </w:rPr>
        <w:lastRenderedPageBreak/>
        <w:t xml:space="preserve">Poniższy regulamin wewnętrzny </w:t>
      </w:r>
      <w:r w:rsidR="0044553C">
        <w:rPr>
          <w:rStyle w:val="Bodytext1"/>
        </w:rPr>
        <w:t>przedstawi</w:t>
      </w:r>
      <w:r>
        <w:rPr>
          <w:rStyle w:val="Bodytext1"/>
        </w:rPr>
        <w:t xml:space="preserve"> wytyczne dotyczące zadań sekretariatu EROD i organów nadzorczych oraz sposobu ich współpracy w celu zapewnienia, aby skarga była odpowiednio weryfikowana, rozpatrywana i przekazywana do CLPO.</w:t>
      </w:r>
      <w:r w:rsidRPr="00853DA5">
        <w:rPr>
          <w:rStyle w:val="Bodytext1"/>
          <w:vertAlign w:val="superscript"/>
        </w:rPr>
        <w:footnoteReference w:id="1"/>
      </w:r>
    </w:p>
    <w:p w14:paraId="14ED6146" w14:textId="77777777" w:rsidR="0022050D" w:rsidRDefault="00750E3C">
      <w:pPr>
        <w:pStyle w:val="Heading110"/>
        <w:keepNext/>
        <w:keepLines/>
        <w:numPr>
          <w:ilvl w:val="0"/>
          <w:numId w:val="1"/>
        </w:numPr>
        <w:tabs>
          <w:tab w:val="left" w:pos="715"/>
          <w:tab w:val="left" w:pos="726"/>
        </w:tabs>
        <w:spacing w:after="140"/>
        <w:jc w:val="both"/>
      </w:pPr>
      <w:bookmarkStart w:id="0" w:name="bookmark0"/>
      <w:r>
        <w:rPr>
          <w:rStyle w:val="Heading11"/>
          <w:b/>
        </w:rPr>
        <w:t>Zadania organów nadzorczych</w:t>
      </w:r>
      <w:r w:rsidRPr="00853DA5">
        <w:rPr>
          <w:rStyle w:val="Heading11"/>
          <w:b/>
          <w:vertAlign w:val="superscript"/>
        </w:rPr>
        <w:footnoteReference w:id="2"/>
      </w:r>
      <w:bookmarkEnd w:id="0"/>
    </w:p>
    <w:p w14:paraId="71B984E8" w14:textId="77777777" w:rsidR="0022050D" w:rsidRDefault="00750E3C">
      <w:pPr>
        <w:pStyle w:val="Bodytext10"/>
        <w:spacing w:after="0"/>
        <w:jc w:val="both"/>
      </w:pPr>
      <w:r>
        <w:rPr>
          <w:rStyle w:val="Bodytext1"/>
        </w:rPr>
        <w:t>Do zadań organu nadzorczego, który otrzymuje skargę, należy:</w:t>
      </w:r>
    </w:p>
    <w:p w14:paraId="752CA73F" w14:textId="77777777" w:rsidR="0022050D" w:rsidRDefault="009B5997">
      <w:pPr>
        <w:pStyle w:val="Bodytext10"/>
        <w:numPr>
          <w:ilvl w:val="0"/>
          <w:numId w:val="2"/>
        </w:numPr>
        <w:tabs>
          <w:tab w:val="left" w:pos="726"/>
        </w:tabs>
        <w:spacing w:after="220" w:line="192" w:lineRule="auto"/>
        <w:ind w:left="740" w:hanging="360"/>
        <w:jc w:val="both"/>
      </w:pPr>
      <w:r>
        <w:rPr>
          <w:rStyle w:val="Bodytext1"/>
          <w:color w:val="000000"/>
        </w:rPr>
        <w:t>weryfikacja</w:t>
      </w:r>
      <w:r w:rsidR="00750E3C">
        <w:rPr>
          <w:rStyle w:val="Bodytext1"/>
          <w:color w:val="000000"/>
        </w:rPr>
        <w:t xml:space="preserve"> tożsamości skarżącego, z zastrzeżeniem uznania organów nadzorczych co do sposobów taki</w:t>
      </w:r>
      <w:r>
        <w:rPr>
          <w:rStyle w:val="Bodytext1"/>
          <w:color w:val="000000"/>
        </w:rPr>
        <w:t>ej weryfikacji, oraz sprawdzenie</w:t>
      </w:r>
      <w:r w:rsidR="00750E3C">
        <w:rPr>
          <w:rStyle w:val="Bodytext1"/>
          <w:color w:val="000000"/>
        </w:rPr>
        <w:t xml:space="preserve">, czy skarga spełnia warunki określone w sekcji 4 lit. k) </w:t>
      </w:r>
      <w:proofErr w:type="spellStart"/>
      <w:r w:rsidR="00750E3C">
        <w:rPr>
          <w:rStyle w:val="Bodytext1"/>
          <w:color w:val="000000"/>
        </w:rPr>
        <w:t>ppkt</w:t>
      </w:r>
      <w:proofErr w:type="spellEnd"/>
      <w:r w:rsidR="00750E3C">
        <w:rPr>
          <w:rStyle w:val="Bodytext1"/>
          <w:color w:val="000000"/>
        </w:rPr>
        <w:t xml:space="preserve"> (i)–(iv) rozporządzenia wykonawczego 14086;</w:t>
      </w:r>
      <w:r w:rsidR="00750E3C">
        <w:rPr>
          <w:rStyle w:val="Bodytext1"/>
        </w:rPr>
        <w:t xml:space="preserve"> </w:t>
      </w:r>
      <w:r w:rsidR="00750E3C" w:rsidRPr="00853DA5">
        <w:rPr>
          <w:rStyle w:val="Bodytext1"/>
          <w:vertAlign w:val="superscript"/>
        </w:rPr>
        <w:footnoteReference w:id="3"/>
      </w:r>
    </w:p>
    <w:p w14:paraId="4D191C8A" w14:textId="77777777" w:rsidR="0022050D" w:rsidRDefault="00750E3C">
      <w:pPr>
        <w:pStyle w:val="Bodytext10"/>
        <w:numPr>
          <w:ilvl w:val="0"/>
          <w:numId w:val="2"/>
        </w:numPr>
        <w:tabs>
          <w:tab w:val="left" w:pos="726"/>
        </w:tabs>
        <w:spacing w:after="220" w:line="173" w:lineRule="auto"/>
        <w:ind w:left="740" w:hanging="360"/>
        <w:jc w:val="both"/>
      </w:pPr>
      <w:r>
        <w:rPr>
          <w:rStyle w:val="Bodytext1"/>
        </w:rPr>
        <w:t>w razie stwierdzenia kompletności – dostarczenie tłumaczenia wniosku na język angielski, jeżeli jest to konieczne i w zakresie, w jakim jest to konieczne</w:t>
      </w:r>
    </w:p>
    <w:p w14:paraId="5768AF53" w14:textId="77777777" w:rsidR="0022050D" w:rsidRDefault="00750E3C">
      <w:pPr>
        <w:pStyle w:val="Bodytext10"/>
        <w:numPr>
          <w:ilvl w:val="0"/>
          <w:numId w:val="2"/>
        </w:numPr>
        <w:tabs>
          <w:tab w:val="left" w:pos="726"/>
        </w:tabs>
        <w:spacing w:after="220" w:line="173" w:lineRule="auto"/>
        <w:ind w:left="740" w:hanging="360"/>
        <w:jc w:val="both"/>
      </w:pPr>
      <w:r>
        <w:rPr>
          <w:rStyle w:val="Bodytext1"/>
        </w:rPr>
        <w:t>przekazanie skargi do sekretariatu EROD w formie zaszyfrowanej, jeżeli zostanie ona uznana za kompletną;</w:t>
      </w:r>
      <w:r w:rsidRPr="00853DA5">
        <w:rPr>
          <w:rStyle w:val="Bodytext1"/>
          <w:vertAlign w:val="superscript"/>
        </w:rPr>
        <w:footnoteReference w:id="4"/>
      </w:r>
    </w:p>
    <w:p w14:paraId="661AF125" w14:textId="77777777" w:rsidR="0022050D" w:rsidRDefault="00750E3C">
      <w:pPr>
        <w:pStyle w:val="Bodytext10"/>
        <w:numPr>
          <w:ilvl w:val="0"/>
          <w:numId w:val="2"/>
        </w:numPr>
        <w:tabs>
          <w:tab w:val="left" w:pos="726"/>
        </w:tabs>
        <w:spacing w:after="220" w:line="190" w:lineRule="auto"/>
        <w:ind w:left="740" w:hanging="360"/>
        <w:jc w:val="both"/>
      </w:pPr>
      <w:r>
        <w:rPr>
          <w:rStyle w:val="Bodytext1"/>
        </w:rPr>
        <w:t xml:space="preserve">powiadomienie skarżącego o odpowiedzi </w:t>
      </w:r>
      <w:r w:rsidR="009B5997">
        <w:t>urzędnika ds. ochrony wolności obywatelskich Urzędu Dyrektora Krajowych Służb Wywiadowczych</w:t>
      </w:r>
      <w:r>
        <w:rPr>
          <w:rStyle w:val="Bodytext1"/>
        </w:rPr>
        <w:t>, otrzymanej za pośrednictwem sekretariatu EROD, w tym o tłumaczeniu, jeżeli jest to konieczne i w niezbędnym zakresie, oraz poinformowanie sekretariatu EROD o dacie takiego powiadomienia;</w:t>
      </w:r>
    </w:p>
    <w:p w14:paraId="32A20B28" w14:textId="77777777" w:rsidR="0022050D" w:rsidRDefault="00750E3C">
      <w:pPr>
        <w:pStyle w:val="Bodytext10"/>
        <w:numPr>
          <w:ilvl w:val="0"/>
          <w:numId w:val="2"/>
        </w:numPr>
        <w:tabs>
          <w:tab w:val="left" w:pos="726"/>
        </w:tabs>
        <w:spacing w:after="140" w:line="175" w:lineRule="auto"/>
        <w:ind w:left="740" w:hanging="360"/>
        <w:jc w:val="both"/>
      </w:pPr>
      <w:r>
        <w:rPr>
          <w:rStyle w:val="Bodytext1"/>
        </w:rPr>
        <w:t xml:space="preserve">przekazywanie wszelkich </w:t>
      </w:r>
      <w:proofErr w:type="spellStart"/>
      <w:r>
        <w:rPr>
          <w:rStyle w:val="Bodytext1"/>
        </w:rPr>
        <w:t>odwołań</w:t>
      </w:r>
      <w:proofErr w:type="spellEnd"/>
      <w:r>
        <w:rPr>
          <w:rStyle w:val="Bodytext1"/>
        </w:rPr>
        <w:t xml:space="preserve"> wniesionych przez skarżącego do sekretariatu EROD w formie zaszyfrowanej;</w:t>
      </w:r>
    </w:p>
    <w:p w14:paraId="0D92DAE5" w14:textId="0CD1D806" w:rsidR="0022050D" w:rsidRDefault="00750E3C">
      <w:pPr>
        <w:pStyle w:val="Bodytext10"/>
        <w:numPr>
          <w:ilvl w:val="0"/>
          <w:numId w:val="2"/>
        </w:numPr>
        <w:tabs>
          <w:tab w:val="left" w:pos="726"/>
        </w:tabs>
        <w:spacing w:after="220" w:line="209" w:lineRule="auto"/>
        <w:ind w:left="740" w:hanging="360"/>
        <w:jc w:val="both"/>
      </w:pPr>
      <w:r>
        <w:rPr>
          <w:rStyle w:val="Bodytext1"/>
        </w:rPr>
        <w:t>przekazanie skarżącemu odpowiedzi (</w:t>
      </w:r>
      <w:r w:rsidR="00DB4C53">
        <w:rPr>
          <w:rStyle w:val="Bodytext1"/>
        </w:rPr>
        <w:t>ustandary</w:t>
      </w:r>
      <w:r>
        <w:rPr>
          <w:rStyle w:val="Bodytext1"/>
        </w:rPr>
        <w:t xml:space="preserve">zowanej odpowiedzi) na jego odwołanie, otrzymanej za pośrednictwem sekretariatu EROD od Biura Ochrony Prywatności i Wolności Obywatelskich </w:t>
      </w:r>
      <w:r w:rsidR="00056276">
        <w:rPr>
          <w:rStyle w:val="Bodytext1"/>
        </w:rPr>
        <w:t xml:space="preserve">przy </w:t>
      </w:r>
      <w:r>
        <w:rPr>
          <w:rStyle w:val="Bodytext1"/>
        </w:rPr>
        <w:t>Departamen</w:t>
      </w:r>
      <w:r w:rsidR="00056276">
        <w:rPr>
          <w:rStyle w:val="Bodytext1"/>
        </w:rPr>
        <w:t>cie</w:t>
      </w:r>
      <w:r>
        <w:rPr>
          <w:rStyle w:val="Bodytext1"/>
        </w:rPr>
        <w:t xml:space="preserve"> Sprawiedliwości Stanów Zjednoczonych (OPCL), które zapewnia wsparcie dla </w:t>
      </w:r>
      <w:r w:rsidR="00E3585D">
        <w:rPr>
          <w:rStyle w:val="Bodytext1"/>
        </w:rPr>
        <w:t>Sądu Odwoławczego ds. Ochrony Danych (</w:t>
      </w:r>
      <w:r>
        <w:rPr>
          <w:rStyle w:val="Bodytext1"/>
        </w:rPr>
        <w:t>DPRC</w:t>
      </w:r>
      <w:r w:rsidR="00E3585D">
        <w:rPr>
          <w:rStyle w:val="Bodytext1"/>
        </w:rPr>
        <w:t>)</w:t>
      </w:r>
      <w:r>
        <w:rPr>
          <w:rStyle w:val="Bodytext1"/>
        </w:rPr>
        <w:t xml:space="preserve">, w tym oświadczenie DPRC, że zakończył przegląd, w tym </w:t>
      </w:r>
      <w:r>
        <w:rPr>
          <w:rStyle w:val="Bodytext1"/>
        </w:rPr>
        <w:lastRenderedPageBreak/>
        <w:t>tłumaczenie, jeżeli i w niezbędnym zakresie;</w:t>
      </w:r>
    </w:p>
    <w:p w14:paraId="55E4431B" w14:textId="32676A4F" w:rsidR="0022050D" w:rsidRDefault="00750E3C">
      <w:pPr>
        <w:pStyle w:val="Bodytext10"/>
        <w:numPr>
          <w:ilvl w:val="0"/>
          <w:numId w:val="2"/>
        </w:numPr>
        <w:tabs>
          <w:tab w:val="left" w:pos="732"/>
        </w:tabs>
        <w:spacing w:line="202" w:lineRule="auto"/>
        <w:ind w:left="740" w:hanging="360"/>
        <w:jc w:val="both"/>
      </w:pPr>
      <w:r>
        <w:rPr>
          <w:rStyle w:val="Bodytext1"/>
        </w:rPr>
        <w:t>przekazanie skarżącemu, za pośrednictwem sekretariatu EROD, informacji dotyczących skarżącego</w:t>
      </w:r>
      <w:r w:rsidR="00350747">
        <w:rPr>
          <w:rStyle w:val="Bodytext1"/>
        </w:rPr>
        <w:t>,</w:t>
      </w:r>
      <w:r w:rsidR="00350747" w:rsidRPr="00350747">
        <w:rPr>
          <w:rStyle w:val="Bodytext1"/>
        </w:rPr>
        <w:t xml:space="preserve"> </w:t>
      </w:r>
      <w:r w:rsidR="00350747">
        <w:rPr>
          <w:rStyle w:val="Bodytext1"/>
        </w:rPr>
        <w:t>które mogą być dla niego dostępne zgodnie z mającym zastosowanie prawem amerykańskim</w:t>
      </w:r>
      <w:r w:rsidRPr="00685A42">
        <w:rPr>
          <w:rStyle w:val="Bodytext1"/>
          <w:vertAlign w:val="superscript"/>
        </w:rPr>
        <w:footnoteReference w:id="5"/>
      </w:r>
      <w:r>
        <w:rPr>
          <w:rStyle w:val="Bodytext1"/>
        </w:rPr>
        <w:t>,w formie przekazanej przez Departament Handlu, w tym tłumaczenia, jeżeli jest to konieczne i w zakresie, w jakim jest to konieczne.</w:t>
      </w:r>
    </w:p>
    <w:p w14:paraId="30EF3A53" w14:textId="77777777" w:rsidR="0022050D" w:rsidRDefault="00750E3C">
      <w:pPr>
        <w:pStyle w:val="Heading110"/>
        <w:keepNext/>
        <w:keepLines/>
        <w:numPr>
          <w:ilvl w:val="0"/>
          <w:numId w:val="1"/>
        </w:numPr>
        <w:tabs>
          <w:tab w:val="left" w:pos="720"/>
          <w:tab w:val="left" w:pos="732"/>
        </w:tabs>
        <w:jc w:val="both"/>
      </w:pPr>
      <w:bookmarkStart w:id="1" w:name="bookmark2"/>
      <w:bookmarkStart w:id="2" w:name="_Hlk172190872"/>
      <w:r>
        <w:rPr>
          <w:rStyle w:val="Heading11"/>
          <w:b/>
        </w:rPr>
        <w:t>Zadania sekretariatu EROD</w:t>
      </w:r>
      <w:bookmarkEnd w:id="1"/>
    </w:p>
    <w:p w14:paraId="649D61FC" w14:textId="77777777" w:rsidR="0022050D" w:rsidRDefault="00750E3C">
      <w:pPr>
        <w:pStyle w:val="Bodytext10"/>
        <w:spacing w:after="0"/>
        <w:jc w:val="both"/>
      </w:pPr>
      <w:r>
        <w:rPr>
          <w:rStyle w:val="Bodytext1"/>
        </w:rPr>
        <w:t>W ramach obowiązku przekazywania skarg w imieniu organów nadzorczych do zadań sekretariatu EROD należy:</w:t>
      </w:r>
    </w:p>
    <w:p w14:paraId="04C4E69A" w14:textId="77777777" w:rsidR="0022050D" w:rsidRDefault="00750E3C">
      <w:pPr>
        <w:pStyle w:val="Bodytext10"/>
        <w:numPr>
          <w:ilvl w:val="0"/>
          <w:numId w:val="3"/>
        </w:numPr>
        <w:tabs>
          <w:tab w:val="left" w:pos="732"/>
        </w:tabs>
        <w:spacing w:line="175" w:lineRule="auto"/>
        <w:ind w:left="740" w:hanging="360"/>
        <w:jc w:val="both"/>
      </w:pPr>
      <w:r>
        <w:rPr>
          <w:rStyle w:val="Bodytext1"/>
        </w:rPr>
        <w:t>sprawdzenie, czy otrzymana skarga została złożona do właściwego organu nadzorczego w EOG i przekazana przez ten organ.</w:t>
      </w:r>
    </w:p>
    <w:p w14:paraId="10CF648F" w14:textId="569D343B" w:rsidR="0022050D" w:rsidRDefault="00750E3C">
      <w:pPr>
        <w:pStyle w:val="Bodytext10"/>
        <w:numPr>
          <w:ilvl w:val="0"/>
          <w:numId w:val="3"/>
        </w:numPr>
        <w:tabs>
          <w:tab w:val="left" w:pos="732"/>
        </w:tabs>
        <w:spacing w:after="280" w:line="204" w:lineRule="auto"/>
        <w:ind w:left="740" w:hanging="360"/>
        <w:jc w:val="both"/>
      </w:pPr>
      <w:r>
        <w:rPr>
          <w:rStyle w:val="Bodytext1"/>
        </w:rPr>
        <w:t xml:space="preserve">sprawdzenie, czy skarga opierała się na </w:t>
      </w:r>
      <w:bookmarkStart w:id="3" w:name="_Hlk172186838"/>
      <w:r>
        <w:rPr>
          <w:rStyle w:val="Bodytext1"/>
        </w:rPr>
        <w:t>wspólnym formularzu skargi UE</w:t>
      </w:r>
      <w:bookmarkEnd w:id="3"/>
      <w:r>
        <w:rPr>
          <w:rStyle w:val="Bodytext1"/>
        </w:rPr>
        <w:t>. W celu zapewnienia spójności sekretariat EROD może wysyłać przypomnienia lub pytania wyjaśniające do organów nadzorczych w kwestiach proceduralnych (w razie potrzeby przy wsparciu</w:t>
      </w:r>
      <w:r w:rsidR="00350747">
        <w:rPr>
          <w:rStyle w:val="Bodytext1"/>
        </w:rPr>
        <w:t xml:space="preserve"> koordynatorów BTLE ESG</w:t>
      </w:r>
      <w:r w:rsidRPr="00685A42">
        <w:rPr>
          <w:rStyle w:val="Bodytext1"/>
          <w:vertAlign w:val="superscript"/>
        </w:rPr>
        <w:footnoteReference w:id="6"/>
      </w:r>
      <w:r>
        <w:rPr>
          <w:rStyle w:val="Bodytext1"/>
        </w:rPr>
        <w:t xml:space="preserve">) w celu przekazywania skarg między organami nadzorczymi a </w:t>
      </w:r>
      <w:r w:rsidR="00350747">
        <w:t>urzędnika ds. ochrony wolności obywatelskich</w:t>
      </w:r>
      <w:r>
        <w:rPr>
          <w:rStyle w:val="Bodytext1"/>
        </w:rPr>
        <w:t xml:space="preserve"> Urzędu Dyrektora Krajowych Służb Wywiadowczych</w:t>
      </w:r>
      <w:r w:rsidR="00350747">
        <w:rPr>
          <w:rStyle w:val="Bodytext1"/>
        </w:rPr>
        <w:t xml:space="preserve"> („ODNI CLPO”)</w:t>
      </w:r>
      <w:r>
        <w:rPr>
          <w:rStyle w:val="Bodytext1"/>
        </w:rPr>
        <w:t>.</w:t>
      </w:r>
    </w:p>
    <w:p w14:paraId="7F5187C7" w14:textId="48632C7A" w:rsidR="0022050D" w:rsidRDefault="00750E3C">
      <w:pPr>
        <w:pStyle w:val="Bodytext10"/>
        <w:numPr>
          <w:ilvl w:val="0"/>
          <w:numId w:val="3"/>
        </w:numPr>
        <w:tabs>
          <w:tab w:val="left" w:pos="711"/>
        </w:tabs>
        <w:spacing w:after="280" w:line="137" w:lineRule="auto"/>
        <w:ind w:firstLine="380"/>
        <w:jc w:val="both"/>
      </w:pPr>
      <w:r>
        <w:rPr>
          <w:rStyle w:val="Bodytext1"/>
        </w:rPr>
        <w:t xml:space="preserve">przekazanie skargi do </w:t>
      </w:r>
      <w:r w:rsidR="00350747">
        <w:rPr>
          <w:rStyle w:val="Bodytext1"/>
        </w:rPr>
        <w:t>ODNI CLPO</w:t>
      </w:r>
      <w:r>
        <w:rPr>
          <w:rStyle w:val="Bodytext1"/>
        </w:rPr>
        <w:t xml:space="preserve"> w formie zaszyfrowanej;</w:t>
      </w:r>
    </w:p>
    <w:p w14:paraId="75D2E895" w14:textId="6E209A0E" w:rsidR="0022050D" w:rsidRDefault="00750E3C">
      <w:pPr>
        <w:pStyle w:val="Bodytext10"/>
        <w:numPr>
          <w:ilvl w:val="0"/>
          <w:numId w:val="3"/>
        </w:numPr>
        <w:tabs>
          <w:tab w:val="left" w:pos="711"/>
          <w:tab w:val="left" w:pos="730"/>
        </w:tabs>
        <w:spacing w:after="280" w:line="137" w:lineRule="auto"/>
        <w:ind w:firstLine="380"/>
        <w:jc w:val="both"/>
      </w:pPr>
      <w:r>
        <w:rPr>
          <w:rStyle w:val="Bodytext1"/>
        </w:rPr>
        <w:t xml:space="preserve">przekazanie odpowiedzi </w:t>
      </w:r>
      <w:r w:rsidR="00350747">
        <w:rPr>
          <w:rStyle w:val="Bodytext1"/>
        </w:rPr>
        <w:t>ODNI CLPO</w:t>
      </w:r>
      <w:r>
        <w:rPr>
          <w:rStyle w:val="Bodytext1"/>
        </w:rPr>
        <w:t xml:space="preserve"> organowi nadzorczemu w formie zaszyfrowanej</w:t>
      </w:r>
    </w:p>
    <w:p w14:paraId="0364505B" w14:textId="2F8C0B6E" w:rsidR="0022050D" w:rsidRPr="00396595" w:rsidRDefault="00750E3C" w:rsidP="00D211AB">
      <w:pPr>
        <w:pStyle w:val="Bodytext10"/>
        <w:numPr>
          <w:ilvl w:val="0"/>
          <w:numId w:val="3"/>
        </w:numPr>
        <w:tabs>
          <w:tab w:val="left" w:pos="711"/>
          <w:tab w:val="left" w:pos="730"/>
        </w:tabs>
        <w:spacing w:after="0"/>
        <w:ind w:firstLine="740"/>
        <w:jc w:val="both"/>
      </w:pPr>
      <w:r w:rsidRPr="00396595">
        <w:rPr>
          <w:rStyle w:val="Bodytext1"/>
        </w:rPr>
        <w:t xml:space="preserve">przekazanie </w:t>
      </w:r>
      <w:r w:rsidR="00350747" w:rsidRPr="00396595">
        <w:rPr>
          <w:rStyle w:val="Bodytext1"/>
        </w:rPr>
        <w:t>ODNI CLPO</w:t>
      </w:r>
      <w:r w:rsidRPr="00396595">
        <w:rPr>
          <w:rStyle w:val="Bodytext1"/>
        </w:rPr>
        <w:t xml:space="preserve"> daty powiadomienia </w:t>
      </w:r>
      <w:r w:rsidR="00350747" w:rsidRPr="00396595">
        <w:rPr>
          <w:rStyle w:val="Bodytext1"/>
        </w:rPr>
        <w:t>przez organ nadzorczy o odpowiedzi ODNI CLPO do skarżącego</w:t>
      </w:r>
    </w:p>
    <w:bookmarkEnd w:id="2"/>
    <w:p w14:paraId="3A6B6EDA" w14:textId="766C0E2E" w:rsidR="0022050D" w:rsidRDefault="00750E3C">
      <w:pPr>
        <w:pStyle w:val="Bodytext10"/>
        <w:numPr>
          <w:ilvl w:val="0"/>
          <w:numId w:val="3"/>
        </w:numPr>
        <w:tabs>
          <w:tab w:val="left" w:pos="732"/>
        </w:tabs>
        <w:spacing w:line="202" w:lineRule="auto"/>
        <w:ind w:left="740" w:hanging="360"/>
        <w:jc w:val="both"/>
      </w:pPr>
      <w:r>
        <w:rPr>
          <w:rStyle w:val="Bodytext1"/>
        </w:rPr>
        <w:t xml:space="preserve">przekazywanie wszelkich </w:t>
      </w:r>
      <w:proofErr w:type="spellStart"/>
      <w:r>
        <w:rPr>
          <w:rStyle w:val="Bodytext1"/>
        </w:rPr>
        <w:t>odwołań</w:t>
      </w:r>
      <w:proofErr w:type="spellEnd"/>
      <w:r>
        <w:rPr>
          <w:rStyle w:val="Bodytext1"/>
        </w:rPr>
        <w:t xml:space="preserve"> otrzymanych od organu nadzorczego do Biura Ochrony Prywatności i Wolności Obywatelskich Departamentu Sprawiedliwości Stanów Zjednoczonych („OPCL”), które zapewnia wsparcie dla DPRC, oraz przekazywanie odpowiedzi (</w:t>
      </w:r>
      <w:r w:rsidR="00DB4C53">
        <w:rPr>
          <w:rStyle w:val="Bodytext1"/>
        </w:rPr>
        <w:t>ustandary</w:t>
      </w:r>
      <w:r>
        <w:rPr>
          <w:rStyle w:val="Bodytext1"/>
        </w:rPr>
        <w:t>zowanej odpowiedzi) otrzymanej od OPCL organom nadzorczym, w tym oświadczenia DPRC o zakończeniu przeglądu, w formie zaszyfrowan</w:t>
      </w:r>
      <w:r w:rsidR="00DD0640">
        <w:rPr>
          <w:rStyle w:val="Bodytext1"/>
        </w:rPr>
        <w:t>ej</w:t>
      </w:r>
      <w:r>
        <w:rPr>
          <w:rStyle w:val="Bodytext1"/>
        </w:rPr>
        <w:t>;</w:t>
      </w:r>
      <w:r w:rsidRPr="00767923">
        <w:rPr>
          <w:rStyle w:val="Bodytext1"/>
          <w:vertAlign w:val="superscript"/>
        </w:rPr>
        <w:footnoteReference w:id="7"/>
      </w:r>
    </w:p>
    <w:p w14:paraId="46887916" w14:textId="6215AE23" w:rsidR="0022050D" w:rsidRDefault="00750E3C">
      <w:pPr>
        <w:pStyle w:val="Bodytext10"/>
        <w:numPr>
          <w:ilvl w:val="0"/>
          <w:numId w:val="3"/>
        </w:numPr>
        <w:tabs>
          <w:tab w:val="left" w:pos="732"/>
        </w:tabs>
        <w:spacing w:after="240" w:line="209" w:lineRule="auto"/>
        <w:ind w:left="740" w:hanging="360"/>
        <w:jc w:val="both"/>
      </w:pPr>
      <w:r>
        <w:rPr>
          <w:rStyle w:val="Bodytext1"/>
        </w:rPr>
        <w:t>przekazanie organowi nadzorczemu informacji przekazanych przez Departament Handlu Stanów Zjednoczonych („</w:t>
      </w:r>
      <w:proofErr w:type="spellStart"/>
      <w:r>
        <w:rPr>
          <w:rStyle w:val="Bodytext1"/>
        </w:rPr>
        <w:t>DoC</w:t>
      </w:r>
      <w:proofErr w:type="spellEnd"/>
      <w:r>
        <w:rPr>
          <w:rStyle w:val="Bodytext1"/>
        </w:rPr>
        <w:t>”) na temat zniesienia klauzuli tajności skargi,</w:t>
      </w:r>
      <w:r>
        <w:rPr>
          <w:rStyle w:val="Bodytext1"/>
        </w:rPr>
        <w:footnoteReference w:id="8"/>
      </w:r>
      <w:r>
        <w:rPr>
          <w:rStyle w:val="Bodytext1"/>
        </w:rPr>
        <w:t xml:space="preserve">w szczególności </w:t>
      </w:r>
      <w:r w:rsidR="00DD0640">
        <w:rPr>
          <w:rStyle w:val="Bodytext1"/>
        </w:rPr>
        <w:t xml:space="preserve">że </w:t>
      </w:r>
      <w:r>
        <w:rPr>
          <w:rStyle w:val="Bodytext1"/>
        </w:rPr>
        <w:t>informacj</w:t>
      </w:r>
      <w:r w:rsidR="00DD0640">
        <w:rPr>
          <w:rStyle w:val="Bodytext1"/>
        </w:rPr>
        <w:t>e</w:t>
      </w:r>
      <w:r>
        <w:rPr>
          <w:rStyle w:val="Bodytext1"/>
        </w:rPr>
        <w:t xml:space="preserve"> dotycząc</w:t>
      </w:r>
      <w:r w:rsidR="00DD0640">
        <w:rPr>
          <w:rStyle w:val="Bodytext1"/>
        </w:rPr>
        <w:t>e</w:t>
      </w:r>
      <w:r>
        <w:rPr>
          <w:rStyle w:val="Bodytext1"/>
        </w:rPr>
        <w:t xml:space="preserve"> skarżącego mogą być dla niego dostępne na mocy mającego zastosowanie prawa Stanów Zjednoczonych,</w:t>
      </w:r>
      <w:r w:rsidRPr="00767923">
        <w:rPr>
          <w:rStyle w:val="Bodytext1"/>
          <w:vertAlign w:val="superscript"/>
        </w:rPr>
        <w:footnoteReference w:id="9"/>
      </w:r>
      <w:r w:rsidRPr="00767923">
        <w:rPr>
          <w:rStyle w:val="Bodytext1"/>
          <w:vertAlign w:val="superscript"/>
        </w:rPr>
        <w:t xml:space="preserve"> </w:t>
      </w:r>
      <w:r>
        <w:rPr>
          <w:rStyle w:val="Bodytext1"/>
        </w:rPr>
        <w:t>w formie zaszyfrowanej, aby służyć jako pojedynczy punkt kontaktowy do celów komunikacji z wyżej wymienionymi organami Stanów Zjednoczonych.</w:t>
      </w:r>
    </w:p>
    <w:p w14:paraId="7C9A1D4D" w14:textId="77777777" w:rsidR="0022050D" w:rsidRDefault="00750E3C">
      <w:pPr>
        <w:pStyle w:val="Bodytext10"/>
        <w:numPr>
          <w:ilvl w:val="0"/>
          <w:numId w:val="3"/>
        </w:numPr>
        <w:tabs>
          <w:tab w:val="left" w:pos="732"/>
        </w:tabs>
        <w:spacing w:line="175" w:lineRule="auto"/>
        <w:ind w:left="740" w:hanging="360"/>
        <w:jc w:val="both"/>
      </w:pPr>
      <w:r>
        <w:rPr>
          <w:rStyle w:val="Bodytext1"/>
        </w:rPr>
        <w:t>zwrócenie uwagi wszystkich członków EROD na wszelkie kwestie leżące w interesie ogólnym, które wynikłyby z tego procesu, związane ze wszystkimi wyżej wymienionymi zadaniami.</w:t>
      </w:r>
    </w:p>
    <w:p w14:paraId="3F630AC9" w14:textId="77777777" w:rsidR="0022050D" w:rsidRDefault="00750E3C">
      <w:pPr>
        <w:pStyle w:val="Heading110"/>
        <w:keepNext/>
        <w:keepLines/>
        <w:numPr>
          <w:ilvl w:val="0"/>
          <w:numId w:val="1"/>
        </w:numPr>
        <w:tabs>
          <w:tab w:val="left" w:pos="732"/>
          <w:tab w:val="left" w:pos="782"/>
        </w:tabs>
        <w:jc w:val="both"/>
      </w:pPr>
      <w:bookmarkStart w:id="4" w:name="bookmark4"/>
      <w:r>
        <w:rPr>
          <w:rStyle w:val="Heading11"/>
          <w:b/>
        </w:rPr>
        <w:t>Odpowiedzialność organów nadzorczych za weryfikację kompletności skargi</w:t>
      </w:r>
      <w:bookmarkEnd w:id="4"/>
    </w:p>
    <w:p w14:paraId="55A18594" w14:textId="77777777" w:rsidR="0022050D" w:rsidRPr="0044553C" w:rsidRDefault="00750E3C">
      <w:pPr>
        <w:pStyle w:val="Bodytext10"/>
        <w:jc w:val="both"/>
      </w:pPr>
      <w:r>
        <w:rPr>
          <w:rStyle w:val="Bodytext1"/>
        </w:rPr>
        <w:t xml:space="preserve">Organ nadzorczy, który otrzymał skargę, jest odpowiedzialny za jej weryfikację, a mianowicie za weryfikację tożsamości skarżącego, z zastrzeżeniem uznania organu nadzorczego co do </w:t>
      </w:r>
      <w:r>
        <w:rPr>
          <w:rStyle w:val="Bodytext1"/>
        </w:rPr>
        <w:lastRenderedPageBreak/>
        <w:t xml:space="preserve">warunków takiej weryfikacji, oraz za sprawdzenie, czy skarga spełnia warunki określone w </w:t>
      </w:r>
      <w:r w:rsidRPr="0044553C">
        <w:rPr>
          <w:rStyle w:val="Bodytext1"/>
        </w:rPr>
        <w:t xml:space="preserve">sekcji 4 lit. k) </w:t>
      </w:r>
      <w:proofErr w:type="spellStart"/>
      <w:r w:rsidRPr="0044553C">
        <w:rPr>
          <w:rStyle w:val="Bodytext1"/>
        </w:rPr>
        <w:t>ppkt</w:t>
      </w:r>
      <w:proofErr w:type="spellEnd"/>
      <w:r w:rsidRPr="0044553C">
        <w:rPr>
          <w:rStyle w:val="Bodytext1"/>
        </w:rPr>
        <w:t xml:space="preserve"> (i)–(iv) rozporządzenia wykonawczego 14086.</w:t>
      </w:r>
      <w:r w:rsidRPr="00767923">
        <w:rPr>
          <w:rStyle w:val="Bodytext1"/>
          <w:vertAlign w:val="superscript"/>
        </w:rPr>
        <w:footnoteReference w:id="10"/>
      </w:r>
    </w:p>
    <w:p w14:paraId="308E6053" w14:textId="77777777" w:rsidR="0022050D" w:rsidRPr="0044553C" w:rsidRDefault="00750E3C">
      <w:pPr>
        <w:pStyle w:val="Bodytext10"/>
        <w:jc w:val="both"/>
      </w:pPr>
      <w:r w:rsidRPr="0044553C">
        <w:rPr>
          <w:rStyle w:val="Bodytext1"/>
        </w:rPr>
        <w:t>Obejmuje to:</w:t>
      </w:r>
    </w:p>
    <w:p w14:paraId="611216A8" w14:textId="216E17D0" w:rsidR="0022050D" w:rsidRPr="0044553C" w:rsidRDefault="00750E3C">
      <w:pPr>
        <w:pStyle w:val="Bodytext10"/>
        <w:numPr>
          <w:ilvl w:val="0"/>
          <w:numId w:val="4"/>
        </w:numPr>
        <w:tabs>
          <w:tab w:val="left" w:pos="688"/>
        </w:tabs>
        <w:spacing w:after="200" w:line="192" w:lineRule="auto"/>
        <w:ind w:left="680" w:hanging="380"/>
        <w:jc w:val="both"/>
      </w:pPr>
      <w:r w:rsidRPr="0044553C">
        <w:rPr>
          <w:rStyle w:val="Bodytext1"/>
        </w:rPr>
        <w:t>weryfik</w:t>
      </w:r>
      <w:r w:rsidR="00503489">
        <w:rPr>
          <w:rStyle w:val="Bodytext1"/>
        </w:rPr>
        <w:t>ację</w:t>
      </w:r>
      <w:r w:rsidRPr="0044553C">
        <w:rPr>
          <w:rStyle w:val="Bodytext1"/>
        </w:rPr>
        <w:t xml:space="preserve"> tożsamoś</w:t>
      </w:r>
      <w:r w:rsidR="00503489">
        <w:rPr>
          <w:rStyle w:val="Bodytext1"/>
        </w:rPr>
        <w:t>ci</w:t>
      </w:r>
      <w:r w:rsidRPr="0044553C">
        <w:rPr>
          <w:rStyle w:val="Bodytext1"/>
        </w:rPr>
        <w:t xml:space="preserve"> skarżącego </w:t>
      </w:r>
      <w:r w:rsidRPr="00526838">
        <w:rPr>
          <w:rStyle w:val="Bodytext1"/>
          <w:vertAlign w:val="superscript"/>
        </w:rPr>
        <w:footnoteReference w:id="11"/>
      </w:r>
      <w:r w:rsidRPr="0044553C">
        <w:rPr>
          <w:rStyle w:val="Bodytext1"/>
        </w:rPr>
        <w:t xml:space="preserve"> i </w:t>
      </w:r>
      <w:r w:rsidR="00503489">
        <w:rPr>
          <w:rStyle w:val="Bodytext1"/>
        </w:rPr>
        <w:t>sprawdzenie</w:t>
      </w:r>
      <w:r w:rsidRPr="0044553C">
        <w:rPr>
          <w:rStyle w:val="Bodytext1"/>
        </w:rPr>
        <w:t>, że działa on we własnym imieniu, a nie jako przedstawiciel organizacji rządowej, pozarządowej lub międzyrządowej;</w:t>
      </w:r>
    </w:p>
    <w:p w14:paraId="0DFC2851" w14:textId="284329C4" w:rsidR="0022050D" w:rsidRPr="0044553C" w:rsidRDefault="00750E3C">
      <w:pPr>
        <w:pStyle w:val="Bodytext10"/>
        <w:numPr>
          <w:ilvl w:val="0"/>
          <w:numId w:val="4"/>
        </w:numPr>
        <w:tabs>
          <w:tab w:val="left" w:pos="688"/>
        </w:tabs>
        <w:spacing w:after="200" w:line="190" w:lineRule="auto"/>
        <w:ind w:left="680" w:hanging="380"/>
        <w:jc w:val="both"/>
      </w:pPr>
      <w:r w:rsidRPr="0044553C">
        <w:rPr>
          <w:rStyle w:val="Bodytext1"/>
        </w:rPr>
        <w:t>sprawdz</w:t>
      </w:r>
      <w:r w:rsidR="00503489">
        <w:rPr>
          <w:rStyle w:val="Bodytext1"/>
        </w:rPr>
        <w:t>enie</w:t>
      </w:r>
      <w:r w:rsidRPr="0044553C">
        <w:rPr>
          <w:rStyle w:val="Bodytext1"/>
        </w:rPr>
        <w:t xml:space="preserve">, czy skarga dotyczy </w:t>
      </w:r>
      <w:r w:rsidRPr="0044553C">
        <w:rPr>
          <w:rStyle w:val="Bodytext1"/>
          <w:color w:val="000000"/>
        </w:rPr>
        <w:t>danych osobowych skarżącego, osoby fizycznej, co do której można zasadnie przypuszczać, że została przekazana do Stanów Zjednoczonych po dacie wejścia w życie decyzji stwierdzającej odpowiedni stopień ochrony (tj. po 10 lipca 2023 r.);</w:t>
      </w:r>
    </w:p>
    <w:p w14:paraId="1DA35384" w14:textId="1DEEBC81" w:rsidR="0022050D" w:rsidRPr="0044553C" w:rsidRDefault="00503489">
      <w:pPr>
        <w:pStyle w:val="Bodytext10"/>
        <w:numPr>
          <w:ilvl w:val="0"/>
          <w:numId w:val="4"/>
        </w:numPr>
        <w:tabs>
          <w:tab w:val="left" w:pos="688"/>
        </w:tabs>
        <w:spacing w:after="200" w:line="192" w:lineRule="auto"/>
        <w:ind w:left="680" w:hanging="380"/>
        <w:jc w:val="both"/>
      </w:pPr>
      <w:r>
        <w:rPr>
          <w:rStyle w:val="Bodytext1"/>
          <w:color w:val="000000"/>
        </w:rPr>
        <w:t>weryfikację</w:t>
      </w:r>
      <w:r w:rsidR="00750E3C" w:rsidRPr="0044553C">
        <w:rPr>
          <w:rStyle w:val="Bodytext1"/>
          <w:color w:val="000000"/>
        </w:rPr>
        <w:t xml:space="preserve">, czy skarżący twierdzi, że </w:t>
      </w:r>
      <w:r w:rsidRPr="0044553C">
        <w:rPr>
          <w:rStyle w:val="Bodytext1"/>
          <w:color w:val="000000"/>
        </w:rPr>
        <w:t xml:space="preserve">amerykańskie agencje wywiadowcze </w:t>
      </w:r>
      <w:r>
        <w:rPr>
          <w:rStyle w:val="Bodytext1"/>
          <w:color w:val="000000"/>
        </w:rPr>
        <w:t>uzyskały niezgodnie z prawem dostęp do jego</w:t>
      </w:r>
      <w:r w:rsidR="00750E3C" w:rsidRPr="0044553C">
        <w:rPr>
          <w:rStyle w:val="Bodytext1"/>
          <w:color w:val="000000"/>
        </w:rPr>
        <w:t xml:space="preserve"> dan</w:t>
      </w:r>
      <w:r>
        <w:rPr>
          <w:rStyle w:val="Bodytext1"/>
          <w:color w:val="000000"/>
        </w:rPr>
        <w:t>ych</w:t>
      </w:r>
      <w:r w:rsidR="00750E3C" w:rsidRPr="0044553C">
        <w:rPr>
          <w:rStyle w:val="Bodytext1"/>
          <w:color w:val="000000"/>
        </w:rPr>
        <w:t xml:space="preserve"> osobow</w:t>
      </w:r>
      <w:r>
        <w:rPr>
          <w:rStyle w:val="Bodytext1"/>
          <w:color w:val="000000"/>
        </w:rPr>
        <w:t>ych</w:t>
      </w:r>
      <w:r w:rsidR="00750E3C" w:rsidRPr="0044553C">
        <w:rPr>
          <w:rStyle w:val="Bodytext1"/>
          <w:color w:val="000000"/>
        </w:rPr>
        <w:t xml:space="preserve"> i </w:t>
      </w:r>
      <w:r>
        <w:rPr>
          <w:rStyle w:val="Bodytext1"/>
          <w:color w:val="000000"/>
        </w:rPr>
        <w:t xml:space="preserve">je </w:t>
      </w:r>
      <w:r w:rsidR="00750E3C" w:rsidRPr="0044553C">
        <w:rPr>
          <w:rStyle w:val="Bodytext1"/>
          <w:color w:val="000000"/>
        </w:rPr>
        <w:t>wykorzysta</w:t>
      </w:r>
      <w:r>
        <w:rPr>
          <w:rStyle w:val="Bodytext1"/>
          <w:color w:val="000000"/>
        </w:rPr>
        <w:t>ły</w:t>
      </w:r>
      <w:r w:rsidR="00750E3C" w:rsidRPr="0044553C">
        <w:rPr>
          <w:rStyle w:val="Bodytext1"/>
          <w:color w:val="000000"/>
        </w:rPr>
        <w:t xml:space="preserve"> po przekazaniu jego danych osobowych z UE do USA.</w:t>
      </w:r>
    </w:p>
    <w:p w14:paraId="1DC7A940" w14:textId="07733BEB" w:rsidR="0022050D" w:rsidRPr="0044553C" w:rsidRDefault="00750E3C">
      <w:pPr>
        <w:pStyle w:val="Bodytext10"/>
        <w:numPr>
          <w:ilvl w:val="0"/>
          <w:numId w:val="4"/>
        </w:numPr>
        <w:tabs>
          <w:tab w:val="left" w:pos="688"/>
        </w:tabs>
        <w:spacing w:after="260" w:line="175" w:lineRule="auto"/>
        <w:ind w:left="680" w:hanging="380"/>
        <w:jc w:val="both"/>
      </w:pPr>
      <w:r w:rsidRPr="0044553C">
        <w:rPr>
          <w:rStyle w:val="Bodytext1"/>
        </w:rPr>
        <w:t>zapewni</w:t>
      </w:r>
      <w:r w:rsidR="00503489">
        <w:rPr>
          <w:rStyle w:val="Bodytext1"/>
        </w:rPr>
        <w:t>enie</w:t>
      </w:r>
      <w:r w:rsidRPr="0044553C">
        <w:rPr>
          <w:rStyle w:val="Bodytext1"/>
        </w:rPr>
        <w:t>, aby skarga została złożona na piśmie (w tym za pośrednictwem poczty elektronicznej) i zawierała następujące informacje:</w:t>
      </w:r>
    </w:p>
    <w:p w14:paraId="0FB4BBDE" w14:textId="1490017C" w:rsidR="0022050D" w:rsidRPr="0044553C" w:rsidRDefault="00503489">
      <w:pPr>
        <w:pStyle w:val="Bodytext10"/>
        <w:spacing w:after="0"/>
        <w:ind w:left="1100" w:hanging="360"/>
        <w:jc w:val="both"/>
      </w:pPr>
      <w:r>
        <w:rPr>
          <w:rStyle w:val="Bodytext1"/>
          <w:rFonts w:eastAsia="Courier New"/>
          <w:color w:val="000000"/>
        </w:rPr>
        <w:t>-</w:t>
      </w:r>
      <w:r w:rsidR="00750E3C" w:rsidRPr="0044553C">
        <w:rPr>
          <w:rStyle w:val="Bodytext1"/>
          <w:rFonts w:eastAsia="Courier New"/>
          <w:color w:val="000000"/>
        </w:rPr>
        <w:t xml:space="preserve"> wszelkie </w:t>
      </w:r>
      <w:r w:rsidR="00750E3C" w:rsidRPr="0044553C">
        <w:rPr>
          <w:rStyle w:val="Bodytext1"/>
          <w:color w:val="000000"/>
        </w:rPr>
        <w:t xml:space="preserve">informacje stanowiące podstawę skargi, w tym szczegóły dotyczące konta internetowego lub </w:t>
      </w:r>
      <w:r>
        <w:rPr>
          <w:rStyle w:val="Bodytext1"/>
          <w:color w:val="000000"/>
        </w:rPr>
        <w:t>przekazania</w:t>
      </w:r>
      <w:r w:rsidR="00750E3C" w:rsidRPr="0044553C">
        <w:rPr>
          <w:rStyle w:val="Bodytext1"/>
          <w:color w:val="000000"/>
        </w:rPr>
        <w:t xml:space="preserve"> danych osobowych, co do których istnieje podejrzenie, że uzyskano do nich dostęp/wystąpiły (które nie muszą wykazywać, że dane skarżącego były w rzeczywistości przedmiotem działań w zakresie rozpoznania radioelektronicznego prowadzonych przez Stany Zjednoczone);</w:t>
      </w:r>
    </w:p>
    <w:p w14:paraId="2397EF4B" w14:textId="3BDB5BA6" w:rsidR="0022050D" w:rsidRPr="0044553C" w:rsidRDefault="00503489">
      <w:pPr>
        <w:pStyle w:val="Bodytext10"/>
        <w:spacing w:after="0" w:line="223" w:lineRule="auto"/>
        <w:ind w:firstLine="740"/>
        <w:jc w:val="both"/>
      </w:pPr>
      <w:r>
        <w:rPr>
          <w:rStyle w:val="Bodytext1"/>
          <w:rFonts w:eastAsia="Courier New"/>
          <w:color w:val="000000"/>
        </w:rPr>
        <w:t xml:space="preserve">- </w:t>
      </w:r>
      <w:r w:rsidR="00750E3C" w:rsidRPr="0044553C">
        <w:rPr>
          <w:rStyle w:val="Bodytext1"/>
          <w:rFonts w:eastAsia="Courier New"/>
          <w:color w:val="000000"/>
        </w:rPr>
        <w:t xml:space="preserve">charakter </w:t>
      </w:r>
      <w:r w:rsidR="00750E3C" w:rsidRPr="0044553C">
        <w:rPr>
          <w:rStyle w:val="Bodytext1"/>
          <w:color w:val="000000"/>
        </w:rPr>
        <w:t>żądanego zadośćuczynienia;</w:t>
      </w:r>
    </w:p>
    <w:p w14:paraId="16C3DA34" w14:textId="6625D51F" w:rsidR="0022050D" w:rsidRPr="0044553C" w:rsidRDefault="00503489">
      <w:pPr>
        <w:pStyle w:val="Bodytext10"/>
        <w:spacing w:after="0" w:line="230" w:lineRule="auto"/>
        <w:ind w:left="1100" w:hanging="360"/>
        <w:jc w:val="both"/>
      </w:pPr>
      <w:r>
        <w:rPr>
          <w:rStyle w:val="Bodytext1"/>
          <w:rFonts w:eastAsia="Courier New"/>
          <w:color w:val="000000"/>
        </w:rPr>
        <w:t xml:space="preserve">- </w:t>
      </w:r>
      <w:r w:rsidR="00750E3C" w:rsidRPr="0044553C">
        <w:rPr>
          <w:rStyle w:val="Bodytext1"/>
          <w:rFonts w:eastAsia="Courier New"/>
          <w:color w:val="000000"/>
        </w:rPr>
        <w:t xml:space="preserve">konkretne </w:t>
      </w:r>
      <w:r w:rsidR="00750E3C" w:rsidRPr="0044553C">
        <w:rPr>
          <w:rStyle w:val="Bodytext1"/>
          <w:color w:val="000000"/>
        </w:rPr>
        <w:t>środki, za pomocą których uważa się, że dane osobowe skarżącego lub dotyczące skarżącego zostały przekazane do Stanów Zjednoczonych;</w:t>
      </w:r>
    </w:p>
    <w:p w14:paraId="7296BB14" w14:textId="1AB60385" w:rsidR="0022050D" w:rsidRPr="0044553C" w:rsidRDefault="00503489">
      <w:pPr>
        <w:pStyle w:val="Bodytext10"/>
        <w:spacing w:after="0" w:line="230" w:lineRule="auto"/>
        <w:ind w:left="1100" w:hanging="360"/>
        <w:jc w:val="both"/>
      </w:pPr>
      <w:r>
        <w:rPr>
          <w:rStyle w:val="Bodytext1"/>
          <w:rFonts w:eastAsia="Courier New"/>
          <w:color w:val="000000"/>
        </w:rPr>
        <w:t xml:space="preserve">- </w:t>
      </w:r>
      <w:r w:rsidR="00750E3C" w:rsidRPr="0044553C">
        <w:rPr>
          <w:rStyle w:val="Bodytext1"/>
          <w:rFonts w:eastAsia="Courier New"/>
          <w:color w:val="000000"/>
        </w:rPr>
        <w:t xml:space="preserve">podmiot </w:t>
      </w:r>
      <w:r w:rsidR="00750E3C" w:rsidRPr="0044553C">
        <w:rPr>
          <w:rStyle w:val="Bodytext1"/>
          <w:color w:val="000000"/>
        </w:rPr>
        <w:t>lub podmioty rządu Stanów Zjednoczonych, co do których istnieje podejrzenie, że są zaangażowane w uzyskiwanie dostępu do danych osobowych skarżącego lub dotyczących skarżącego (jeżeli są znane);</w:t>
      </w:r>
    </w:p>
    <w:p w14:paraId="1B93E554" w14:textId="26634D10" w:rsidR="0022050D" w:rsidRPr="0044553C" w:rsidRDefault="00503489">
      <w:pPr>
        <w:pStyle w:val="Bodytext10"/>
        <w:spacing w:after="0" w:line="230" w:lineRule="auto"/>
        <w:ind w:left="1100" w:hanging="360"/>
        <w:jc w:val="both"/>
      </w:pPr>
      <w:r>
        <w:rPr>
          <w:rStyle w:val="Bodytext1"/>
          <w:rFonts w:eastAsia="Courier New"/>
          <w:color w:val="000000"/>
        </w:rPr>
        <w:t>-</w:t>
      </w:r>
      <w:r w:rsidR="00750E3C" w:rsidRPr="0044553C">
        <w:rPr>
          <w:rStyle w:val="Bodytext1"/>
          <w:rFonts w:eastAsia="Courier New"/>
          <w:color w:val="000000"/>
        </w:rPr>
        <w:t xml:space="preserve"> oraz </w:t>
      </w:r>
      <w:r w:rsidR="00750E3C" w:rsidRPr="0044553C">
        <w:rPr>
          <w:rStyle w:val="Bodytext1"/>
          <w:color w:val="000000"/>
        </w:rPr>
        <w:t xml:space="preserve">wszelkie inne środki, które skarżący mógł zastosować w celu uzyskania żądanych informacji lub </w:t>
      </w:r>
      <w:r w:rsidR="006132E3">
        <w:rPr>
          <w:rStyle w:val="Bodytext1"/>
          <w:color w:val="000000"/>
        </w:rPr>
        <w:t>zadośćuczynienia</w:t>
      </w:r>
      <w:r w:rsidR="00750E3C" w:rsidRPr="0044553C">
        <w:rPr>
          <w:rStyle w:val="Bodytext1"/>
          <w:color w:val="000000"/>
        </w:rPr>
        <w:t>, a także odpowiedź otrzymaną w ramach tych innych środków;</w:t>
      </w:r>
    </w:p>
    <w:p w14:paraId="13D1931F" w14:textId="7AB5CCBE" w:rsidR="0022050D" w:rsidRPr="0044553C" w:rsidRDefault="00503489">
      <w:pPr>
        <w:pStyle w:val="Bodytext10"/>
        <w:spacing w:after="120" w:line="223" w:lineRule="auto"/>
        <w:ind w:firstLine="740"/>
        <w:jc w:val="both"/>
      </w:pPr>
      <w:r>
        <w:rPr>
          <w:rStyle w:val="Bodytext1"/>
          <w:rFonts w:eastAsia="Courier New"/>
          <w:color w:val="000000"/>
        </w:rPr>
        <w:t xml:space="preserve">- </w:t>
      </w:r>
      <w:r w:rsidR="00750E3C" w:rsidRPr="0044553C">
        <w:rPr>
          <w:rStyle w:val="Bodytext1"/>
          <w:rFonts w:eastAsia="Courier New"/>
          <w:color w:val="000000"/>
        </w:rPr>
        <w:t xml:space="preserve">że </w:t>
      </w:r>
      <w:r w:rsidR="00750E3C" w:rsidRPr="0044553C">
        <w:rPr>
          <w:rStyle w:val="Bodytext1"/>
          <w:color w:val="000000"/>
        </w:rPr>
        <w:t>skarga nie jest niepoważna, dokuczliwa ani złożona w złej wierze.</w:t>
      </w:r>
    </w:p>
    <w:p w14:paraId="6A05CA4D" w14:textId="77777777" w:rsidR="0022050D" w:rsidRPr="0044553C" w:rsidRDefault="00750E3C">
      <w:pPr>
        <w:pStyle w:val="Heading110"/>
        <w:keepNext/>
        <w:keepLines/>
        <w:numPr>
          <w:ilvl w:val="0"/>
          <w:numId w:val="1"/>
        </w:numPr>
        <w:tabs>
          <w:tab w:val="left" w:pos="688"/>
        </w:tabs>
        <w:spacing w:after="0"/>
        <w:jc w:val="both"/>
      </w:pPr>
      <w:bookmarkStart w:id="5" w:name="bookmark6"/>
      <w:r w:rsidRPr="0044553C">
        <w:rPr>
          <w:rStyle w:val="Heading11"/>
          <w:b/>
        </w:rPr>
        <w:t>Odpowiedzialność organu nadzorczego za weryfikację dopuszczalności odwołania</w:t>
      </w:r>
      <w:bookmarkEnd w:id="5"/>
    </w:p>
    <w:p w14:paraId="7B2ED518" w14:textId="77777777" w:rsidR="0022050D" w:rsidRPr="0044553C" w:rsidRDefault="00750E3C">
      <w:pPr>
        <w:pStyle w:val="Bodytext10"/>
        <w:numPr>
          <w:ilvl w:val="0"/>
          <w:numId w:val="5"/>
        </w:numPr>
        <w:tabs>
          <w:tab w:val="left" w:pos="688"/>
        </w:tabs>
        <w:spacing w:after="200" w:line="173" w:lineRule="auto"/>
        <w:ind w:left="740" w:hanging="360"/>
        <w:jc w:val="both"/>
      </w:pPr>
      <w:r w:rsidRPr="0044553C">
        <w:rPr>
          <w:rStyle w:val="Bodytext1"/>
          <w:color w:val="000000"/>
        </w:rPr>
        <w:t>Sprawdzenie, czy odwołanie zostało wniesione przez tę samą osobę, która złożyła skargę</w:t>
      </w:r>
    </w:p>
    <w:p w14:paraId="4EB1F3DA" w14:textId="516983F2" w:rsidR="0022050D" w:rsidRDefault="00750E3C">
      <w:pPr>
        <w:pStyle w:val="Bodytext10"/>
        <w:numPr>
          <w:ilvl w:val="0"/>
          <w:numId w:val="5"/>
        </w:numPr>
        <w:tabs>
          <w:tab w:val="left" w:pos="688"/>
        </w:tabs>
        <w:spacing w:after="420" w:line="202" w:lineRule="auto"/>
        <w:ind w:left="740" w:hanging="360"/>
        <w:jc w:val="both"/>
      </w:pPr>
      <w:r w:rsidRPr="0044553C">
        <w:rPr>
          <w:rStyle w:val="Bodytext1"/>
          <w:color w:val="000000"/>
        </w:rPr>
        <w:t>Sprawdz</w:t>
      </w:r>
      <w:r w:rsidR="006132E3">
        <w:rPr>
          <w:rStyle w:val="Bodytext1"/>
          <w:color w:val="000000"/>
        </w:rPr>
        <w:t>enie</w:t>
      </w:r>
      <w:r w:rsidRPr="0044553C">
        <w:rPr>
          <w:rStyle w:val="Bodytext1"/>
          <w:color w:val="000000"/>
        </w:rPr>
        <w:t xml:space="preserve">, czy odwołanie zostało wniesione do organu nadzorczego w ciągu 60 dni od dnia, w którym skarżący otrzymał od organu nadzorczego powiadomienie o zakończeniu przeglądu przez </w:t>
      </w:r>
      <w:r w:rsidR="006132E3">
        <w:rPr>
          <w:rStyle w:val="Bodytext1"/>
          <w:color w:val="000000"/>
        </w:rPr>
        <w:t>ODNI CLPO</w:t>
      </w:r>
      <w:r w:rsidRPr="0044553C">
        <w:rPr>
          <w:rStyle w:val="Bodytext1"/>
          <w:color w:val="000000"/>
        </w:rPr>
        <w:t>.</w:t>
      </w:r>
      <w:r w:rsidRPr="00526838">
        <w:rPr>
          <w:rStyle w:val="Bodytext1"/>
          <w:color w:val="000000"/>
          <w:vertAlign w:val="superscript"/>
        </w:rPr>
        <w:footnoteReference w:id="12"/>
      </w:r>
      <w:r w:rsidRPr="0044553C">
        <w:rPr>
          <w:rStyle w:val="Bodytext1"/>
          <w:color w:val="000000"/>
        </w:rPr>
        <w:t xml:space="preserve"> W tym celu przy</w:t>
      </w:r>
      <w:r>
        <w:rPr>
          <w:rStyle w:val="Bodytext1"/>
          <w:color w:val="000000"/>
        </w:rPr>
        <w:t xml:space="preserve"> przekazywaniu </w:t>
      </w:r>
      <w:r>
        <w:rPr>
          <w:rStyle w:val="Bodytext1"/>
          <w:color w:val="000000"/>
        </w:rPr>
        <w:lastRenderedPageBreak/>
        <w:t xml:space="preserve">wniosków o </w:t>
      </w:r>
      <w:r w:rsidR="00056276">
        <w:rPr>
          <w:rStyle w:val="Bodytext1"/>
          <w:color w:val="000000"/>
        </w:rPr>
        <w:t>kontrolę</w:t>
      </w:r>
      <w:r>
        <w:rPr>
          <w:rStyle w:val="Bodytext1"/>
          <w:color w:val="000000"/>
        </w:rPr>
        <w:t xml:space="preserve"> decyzji </w:t>
      </w:r>
      <w:r w:rsidR="00056276">
        <w:rPr>
          <w:rStyle w:val="Bodytext1"/>
          <w:color w:val="000000"/>
        </w:rPr>
        <w:t>ODNI CLPO</w:t>
      </w:r>
      <w:r>
        <w:rPr>
          <w:rStyle w:val="Bodytext1"/>
          <w:color w:val="000000"/>
        </w:rPr>
        <w:t xml:space="preserve"> należy wskazać w przekazywaniu odpowiednie daty.</w:t>
      </w:r>
    </w:p>
    <w:p w14:paraId="1BE4CF09" w14:textId="77777777" w:rsidR="0022050D" w:rsidRDefault="00750E3C">
      <w:pPr>
        <w:pStyle w:val="Heading110"/>
        <w:keepNext/>
        <w:keepLines/>
        <w:numPr>
          <w:ilvl w:val="0"/>
          <w:numId w:val="1"/>
        </w:numPr>
        <w:tabs>
          <w:tab w:val="left" w:pos="688"/>
        </w:tabs>
        <w:spacing w:after="200"/>
        <w:jc w:val="both"/>
      </w:pPr>
      <w:bookmarkStart w:id="6" w:name="bookmark8"/>
      <w:r>
        <w:rPr>
          <w:rStyle w:val="Heading11"/>
          <w:b/>
        </w:rPr>
        <w:t>Współpraca i komunikacja we współpracy z sekretariatem EROD</w:t>
      </w:r>
      <w:bookmarkEnd w:id="6"/>
    </w:p>
    <w:p w14:paraId="33E741C5" w14:textId="77777777" w:rsidR="0022050D" w:rsidRDefault="00750E3C">
      <w:pPr>
        <w:pStyle w:val="Bodytext10"/>
        <w:spacing w:after="140"/>
        <w:jc w:val="both"/>
      </w:pPr>
      <w:r>
        <w:rPr>
          <w:rStyle w:val="Bodytext1"/>
          <w:color w:val="000000"/>
        </w:rPr>
        <w:t>Członkowie EROD zgodzili się skorzystać z unijnego formularza skargi indywidualnej. Członkowie zgodzili się również opublikować go wraz z innymi przydatnymi informacjami na swoich stronach internetowych.</w:t>
      </w:r>
    </w:p>
    <w:p w14:paraId="49D2F091" w14:textId="77777777" w:rsidR="0022050D" w:rsidRDefault="00750E3C">
      <w:pPr>
        <w:pStyle w:val="Bodytext10"/>
        <w:spacing w:after="220"/>
        <w:jc w:val="both"/>
      </w:pPr>
      <w:r>
        <w:rPr>
          <w:rStyle w:val="Bodytext1"/>
          <w:color w:val="000000"/>
        </w:rPr>
        <w:t>Komunikacja między sekretariatem EROD a organami nadzorczymi zostanie ułatwiona za pomocą odpowiednich (bezpiecznych) środków elektronicznych (tj. w formie zaszyfrowanej).</w:t>
      </w:r>
    </w:p>
    <w:p w14:paraId="3C63C7E3" w14:textId="77777777" w:rsidR="0022050D" w:rsidRDefault="00750E3C">
      <w:pPr>
        <w:jc w:val="center"/>
        <w:rPr>
          <w:sz w:val="2"/>
        </w:rPr>
      </w:pPr>
      <w:r>
        <w:rPr>
          <w:noProof/>
          <w:lang w:val="pl-PL"/>
        </w:rPr>
        <w:drawing>
          <wp:inline distT="0" distB="0" distL="0" distR="0" wp14:anchorId="3E5FEFD1" wp14:editId="017FECB6">
            <wp:extent cx="5736590" cy="323215"/>
            <wp:effectExtent l="0" t="0" r="0" b="0"/>
            <wp:docPr id="8" name="Picutre 8 - Kto odpowiedział?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Zdjęcie 8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736590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827CE" w14:textId="77777777" w:rsidR="0022050D" w:rsidRDefault="0022050D">
      <w:pPr>
        <w:spacing w:after="139" w:line="1" w:lineRule="exact"/>
      </w:pPr>
    </w:p>
    <w:p w14:paraId="7D1BE997" w14:textId="77777777" w:rsidR="0022050D" w:rsidRDefault="00750E3C">
      <w:pPr>
        <w:pStyle w:val="Bodytext10"/>
        <w:spacing w:after="140"/>
        <w:jc w:val="both"/>
      </w:pPr>
      <w:r>
        <w:rPr>
          <w:rStyle w:val="Bodytext1"/>
          <w:color w:val="000000"/>
        </w:rPr>
        <w:t>Wszystkie organy nadzorcze wykorzystają ten adres e-mail do komunikacji z sekretariatem EROD (tj. do przekazywania skarg, a także odpowiednich pytań dotyczących tego mechanizmu dochodzenia roszczeń).</w:t>
      </w:r>
    </w:p>
    <w:p w14:paraId="32DD4B4E" w14:textId="77777777" w:rsidR="0022050D" w:rsidRDefault="00750E3C">
      <w:pPr>
        <w:pStyle w:val="Bodytext10"/>
        <w:spacing w:after="140"/>
        <w:jc w:val="both"/>
      </w:pPr>
      <w:r>
        <w:rPr>
          <w:rStyle w:val="Bodytext1"/>
        </w:rPr>
        <w:t>W wyjątkowych przypadkach może dojść do sporu między organem nadzorczym a sekretariatem EROD co do tego, czy skargę można uznać za kompletną, w którym to przypadku sekretariat EROD i ten organ nadzorczy będą współpracować w celu osiągnięcia konsensusu.</w:t>
      </w:r>
    </w:p>
    <w:sectPr w:rsidR="0022050D">
      <w:footerReference w:type="default" r:id="rId9"/>
      <w:pgSz w:w="11900" w:h="16840"/>
      <w:pgMar w:top="1354" w:right="1393" w:bottom="1207" w:left="1401" w:header="926" w:footer="3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C3432" w14:textId="77777777" w:rsidR="004026CB" w:rsidRDefault="004026CB">
      <w:r>
        <w:separator/>
      </w:r>
    </w:p>
  </w:endnote>
  <w:endnote w:type="continuationSeparator" w:id="0">
    <w:p w14:paraId="58F2D59F" w14:textId="77777777" w:rsidR="004026CB" w:rsidRDefault="00402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43F33" w14:textId="77777777" w:rsidR="0022050D" w:rsidRDefault="00750E3C">
    <w:pPr>
      <w:spacing w:line="1" w:lineRule="exact"/>
    </w:pPr>
    <w:r>
      <w:rPr>
        <w:noProof/>
        <w:lang w:val="pl-PL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7B233A9" wp14:editId="1A74B3A3">
              <wp:simplePos x="0" y="0"/>
              <wp:positionH relativeFrom="page">
                <wp:posOffset>920115</wp:posOffset>
              </wp:positionH>
              <wp:positionV relativeFrom="page">
                <wp:posOffset>10113645</wp:posOffset>
              </wp:positionV>
              <wp:extent cx="5721350" cy="118745"/>
              <wp:effectExtent l="0" t="0" r="0" b="0"/>
              <wp:wrapNone/>
              <wp:docPr id="9" name="Kształt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135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FFDBE2" w14:textId="77777777" w:rsidR="0022050D" w:rsidRDefault="00750E3C">
                          <w:pPr>
                            <w:pStyle w:val="Headerorfooter20"/>
                            <w:tabs>
                              <w:tab w:val="right" w:pos="9010"/>
                            </w:tabs>
                            <w:rPr>
                              <w:sz w:val="22"/>
                            </w:rPr>
                          </w:pPr>
                          <w:r>
                            <w:rPr>
                              <w:rStyle w:val="Headerorfooter2"/>
                              <w:rFonts w:ascii="Calibri" w:eastAsia="Calibri" w:hAnsi="Calibri" w:cs="Calibri"/>
                              <w:sz w:val="22"/>
                            </w:rPr>
                            <w:t>przyjęte</w:t>
                          </w:r>
                          <w:r>
                            <w:rPr>
                              <w:rStyle w:val="Headerorfooter2"/>
                              <w:rFonts w:ascii="Calibri" w:eastAsia="Calibri" w:hAnsi="Calibri" w:cs="Calibri"/>
                              <w:sz w:val="22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50E3C">
                            <w:rPr>
                              <w:rStyle w:val="Headerorfooter2"/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Style w:val="Headerorfooter2"/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B233A9" id="_x0000_t202" coordsize="21600,21600" o:spt="202" path="m,l,21600r21600,l21600,xe">
              <v:stroke joinstyle="miter"/>
              <v:path gradientshapeok="t" o:connecttype="rect"/>
            </v:shapetype>
            <v:shape id="Kształt 9" o:spid="_x0000_s1029" type="#_x0000_t202" style="position:absolute;margin-left:72.45pt;margin-top:796.35pt;width:450.5pt;height:9.3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" filled="f" stroked="f">
              <v:textbox style="mso-fit-shape-to-text:t" inset="0,0,0,0">
                <w:txbxContent>
                  <w:p w14:paraId="39FFDBE2" w14:textId="77777777" w:rsidR="0022050D" w:rsidRDefault="00750E3C">
                    <w:pPr>
                      <w:pStyle w:val="Headerorfooter20"/>
                      <w:tabs>
                        <w:tab w:val="right" w:pos="9010"/>
                      </w:tabs>
                      <w:rPr>
                        <w:sz w:val="22"/>
                      </w:rPr>
                    </w:pPr>
                    <w:r>
                      <w:rPr>
                        <w:rStyle w:val="Headerorfooter2"/>
                        <w:rFonts w:ascii="Calibri" w:eastAsia="Calibri" w:hAnsi="Calibri" w:cs="Calibri"/>
                        <w:sz w:val="22"/>
                      </w:rPr>
                      <w:t>przyjęte</w:t>
                    </w:r>
                    <w:r>
                      <w:rPr>
                        <w:rStyle w:val="Headerorfooter2"/>
                        <w:rFonts w:ascii="Calibri" w:eastAsia="Calibri" w:hAnsi="Calibri" w:cs="Calibri"/>
                        <w:sz w:val="22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50E3C">
                      <w:rPr>
                        <w:rStyle w:val="Headerorfooter2"/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rStyle w:val="Headerorfooter2"/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5ED94" w14:textId="77777777" w:rsidR="004026CB" w:rsidRDefault="004026CB">
      <w:r>
        <w:separator/>
      </w:r>
    </w:p>
  </w:footnote>
  <w:footnote w:type="continuationSeparator" w:id="0">
    <w:p w14:paraId="1A452D89" w14:textId="77777777" w:rsidR="004026CB" w:rsidRDefault="004026CB">
      <w:r>
        <w:continuationSeparator/>
      </w:r>
    </w:p>
  </w:footnote>
  <w:footnote w:id="1">
    <w:p w14:paraId="0A1C3482" w14:textId="4ECF2D61" w:rsidR="0022050D" w:rsidRDefault="00750E3C" w:rsidP="00555312">
      <w:pPr>
        <w:pStyle w:val="Footnote10"/>
        <w:jc w:val="both"/>
      </w:pPr>
      <w:r>
        <w:rPr>
          <w:rStyle w:val="Footnote1"/>
        </w:rPr>
        <w:footnoteRef/>
      </w:r>
      <w:r w:rsidR="00685A42">
        <w:rPr>
          <w:rStyle w:val="Footnote1"/>
        </w:rPr>
        <w:t xml:space="preserve"> </w:t>
      </w:r>
      <w:r>
        <w:rPr>
          <w:rStyle w:val="Footnote1"/>
        </w:rPr>
        <w:t xml:space="preserve">Do celów niniejszego dokumentu wszelkie odniesienia do urzędnika ds. ochrony wolności obywatelskich („CLPO”) oznaczają </w:t>
      </w:r>
      <w:r w:rsidR="00555312">
        <w:t>urzędnika ds. ochrony wolności obywatelskich Urzędu Dyrektora Krajowych Służb Wywiadowczych</w:t>
      </w:r>
      <w:r w:rsidR="004523D0">
        <w:t>;</w:t>
      </w:r>
      <w:r w:rsidR="004523D0">
        <w:rPr>
          <w:rStyle w:val="Footnote1"/>
        </w:rPr>
        <w:t xml:space="preserve"> </w:t>
      </w:r>
      <w:r>
        <w:rPr>
          <w:rStyle w:val="Footnote1"/>
        </w:rPr>
        <w:t>„ODNI CLPO”).</w:t>
      </w:r>
    </w:p>
  </w:footnote>
  <w:footnote w:id="2">
    <w:p w14:paraId="77170CDB" w14:textId="7D0CD194" w:rsidR="0022050D" w:rsidRDefault="00750E3C">
      <w:pPr>
        <w:pStyle w:val="Footnote10"/>
        <w:jc w:val="both"/>
      </w:pPr>
      <w:r>
        <w:rPr>
          <w:rStyle w:val="Footnote1"/>
        </w:rPr>
        <w:footnoteRef/>
      </w:r>
      <w:r w:rsidR="00685A42">
        <w:rPr>
          <w:rStyle w:val="Footnote1"/>
        </w:rPr>
        <w:t xml:space="preserve"> </w:t>
      </w:r>
      <w:r>
        <w:rPr>
          <w:rStyle w:val="Footnote1"/>
        </w:rPr>
        <w:t>Do celów niniejszego dokumentu wszelkie odniesienia do organów nadzorczych oznaczają organy ochrony danych zgodnie z art. 4 pkt 21 RODO.</w:t>
      </w:r>
    </w:p>
  </w:footnote>
  <w:footnote w:id="3">
    <w:p w14:paraId="4A551F26" w14:textId="007CF9CD" w:rsidR="0022050D" w:rsidRDefault="00750E3C">
      <w:pPr>
        <w:pStyle w:val="Footnote10"/>
        <w:jc w:val="both"/>
      </w:pPr>
      <w:r>
        <w:rPr>
          <w:rStyle w:val="Footnote1"/>
        </w:rPr>
        <w:footnoteRef/>
      </w:r>
      <w:r>
        <w:rPr>
          <w:rStyle w:val="Footnote1"/>
        </w:rPr>
        <w:t xml:space="preserve"> Rozporządzenie wykonawcze 14086, sekcja 4 lit. k) </w:t>
      </w:r>
      <w:proofErr w:type="spellStart"/>
      <w:r>
        <w:rPr>
          <w:rStyle w:val="Footnote1"/>
        </w:rPr>
        <w:t>ppkt</w:t>
      </w:r>
      <w:proofErr w:type="spellEnd"/>
      <w:r>
        <w:rPr>
          <w:rStyle w:val="Footnote1"/>
        </w:rPr>
        <w:t xml:space="preserve"> (v) stanowi, że: »Kwalifikująca się skarga« oznacza skargę złożoną na piśmie, która (...) jest przekazywana przez właściwy organ publiczny w kwalifikującym się państwie </w:t>
      </w:r>
      <w:r>
        <w:rPr>
          <w:rStyle w:val="Footnote1"/>
          <w:b/>
        </w:rPr>
        <w:t xml:space="preserve">po sprawdzeniu tożsamości skarżącego </w:t>
      </w:r>
      <w:r>
        <w:rPr>
          <w:rStyle w:val="Footnote1"/>
        </w:rPr>
        <w:t xml:space="preserve">oraz że skarga spełnia warunki określone w sekcji 5 lit. k) </w:t>
      </w:r>
      <w:proofErr w:type="spellStart"/>
      <w:r>
        <w:rPr>
          <w:rStyle w:val="Footnote1"/>
        </w:rPr>
        <w:t>ppkt</w:t>
      </w:r>
      <w:proofErr w:type="spellEnd"/>
      <w:r>
        <w:rPr>
          <w:rStyle w:val="Footnote1"/>
        </w:rPr>
        <w:t xml:space="preserve"> (i)–(iv) niniejszego </w:t>
      </w:r>
      <w:r w:rsidR="00EA50CF">
        <w:rPr>
          <w:rStyle w:val="Footnote1"/>
        </w:rPr>
        <w:t>rozpo</w:t>
      </w:r>
      <w:r>
        <w:rPr>
          <w:rStyle w:val="Footnote1"/>
        </w:rPr>
        <w:t xml:space="preserve">rządzenia.”; Również </w:t>
      </w:r>
      <w:hyperlink r:id="rId1" w:history="1">
        <w:r w:rsidR="00E3585D">
          <w:rPr>
            <w:rStyle w:val="Footnote1"/>
            <w:b/>
            <w:color w:val="0563C1"/>
            <w:u w:val="single"/>
          </w:rPr>
          <w:t>dyrektywa Wspólnoty W</w:t>
        </w:r>
        <w:r>
          <w:rPr>
            <w:rStyle w:val="Footnote1"/>
            <w:b/>
            <w:color w:val="0563C1"/>
            <w:u w:val="single"/>
          </w:rPr>
          <w:t>ywiadowczej</w:t>
        </w:r>
        <w:r w:rsidR="00EA50CF">
          <w:rPr>
            <w:rStyle w:val="Footnote1"/>
            <w:b/>
            <w:color w:val="0563C1"/>
            <w:u w:val="single"/>
          </w:rPr>
          <w:t xml:space="preserve"> (ICD)</w:t>
        </w:r>
        <w:r>
          <w:rPr>
            <w:rStyle w:val="Footnote1"/>
            <w:b/>
            <w:color w:val="0563C1"/>
            <w:u w:val="single"/>
          </w:rPr>
          <w:t xml:space="preserve"> 126,</w:t>
        </w:r>
      </w:hyperlink>
      <w:r>
        <w:rPr>
          <w:rStyle w:val="Footnote1"/>
          <w:b/>
        </w:rPr>
        <w:t xml:space="preserve"> sekcja E ust. 1 lit. c) pkt 8:</w:t>
      </w:r>
      <w:r>
        <w:rPr>
          <w:rStyle w:val="Footnote1"/>
        </w:rPr>
        <w:t xml:space="preserve"> „W szczególności, aby przekazana skarga była »kwalifikującą się skargą« zgodną z definicją »objętego naruszenia« i »kwalifikującej skargi« zawartą w rozporządzeniu wykonawczym 14086, skarga musi: (..) </w:t>
      </w:r>
      <w:r>
        <w:rPr>
          <w:rStyle w:val="Footnote1"/>
          <w:b/>
        </w:rPr>
        <w:t>zawiera</w:t>
      </w:r>
      <w:r w:rsidR="005C0EA7">
        <w:rPr>
          <w:rStyle w:val="Footnote1"/>
          <w:b/>
        </w:rPr>
        <w:t>ć</w:t>
      </w:r>
      <w:r>
        <w:rPr>
          <w:rStyle w:val="Footnote1"/>
          <w:b/>
        </w:rPr>
        <w:t xml:space="preserve"> weryfikację przeprowadzoną </w:t>
      </w:r>
      <w:r>
        <w:rPr>
          <w:rStyle w:val="Footnote1"/>
        </w:rPr>
        <w:t>przez właściwy organ publiczny w kwalifikującym się państwie: a) tożsamości skarżącego oraz b) czy skarga spełnia warunki określone w sekcji E</w:t>
      </w:r>
      <w:r w:rsidR="00E3585D">
        <w:rPr>
          <w:rStyle w:val="Footnote1"/>
        </w:rPr>
        <w:t xml:space="preserve"> ust.</w:t>
      </w:r>
      <w:r>
        <w:rPr>
          <w:rStyle w:val="Footnote1"/>
        </w:rPr>
        <w:t>1</w:t>
      </w:r>
      <w:r w:rsidR="00E3585D">
        <w:rPr>
          <w:rStyle w:val="Footnote1"/>
        </w:rPr>
        <w:t xml:space="preserve"> lit. </w:t>
      </w:r>
      <w:r>
        <w:rPr>
          <w:rStyle w:val="Footnote1"/>
        </w:rPr>
        <w:t xml:space="preserve">c. </w:t>
      </w:r>
      <w:r w:rsidR="00E3585D">
        <w:rPr>
          <w:rStyle w:val="Footnote1"/>
        </w:rPr>
        <w:t>pkt</w:t>
      </w:r>
      <w:r>
        <w:rPr>
          <w:rStyle w:val="Footnote1"/>
        </w:rPr>
        <w:t xml:space="preserve"> l)-7</w:t>
      </w:r>
      <w:r w:rsidR="005C0EA7">
        <w:rPr>
          <w:rStyle w:val="Footnote1"/>
        </w:rPr>
        <w:t>)</w:t>
      </w:r>
      <w:r>
        <w:rPr>
          <w:rStyle w:val="Footnote1"/>
        </w:rPr>
        <w:t xml:space="preserve"> niniejszej dyrektywy; oraz </w:t>
      </w:r>
      <w:r>
        <w:rPr>
          <w:rStyle w:val="Footnote1"/>
          <w:b/>
        </w:rPr>
        <w:t>sekcja E ust. 1 lit. e) ICD:</w:t>
      </w:r>
      <w:r>
        <w:rPr>
          <w:rStyle w:val="Footnote1"/>
        </w:rPr>
        <w:t xml:space="preserve"> „Przekazanie skargi przez właściwy organ publiczny w kwalifikującym się państwie </w:t>
      </w:r>
      <w:r>
        <w:rPr>
          <w:rStyle w:val="Footnote1"/>
          <w:b/>
        </w:rPr>
        <w:t xml:space="preserve">musi również zawierać opis sposobu, w jaki organ zweryfikował tożsamość skarżącego. </w:t>
      </w:r>
      <w:r>
        <w:rPr>
          <w:rStyle w:val="Footnote1"/>
        </w:rPr>
        <w:t>CLPO polega na weryfikacji tożsamości skarżącego przez właściwy organ publiczny w kwalifikującym się państwie, ale jeżeli informacje dostarczone przez odpowiedni organ publiczny w kwalifikującym się państwie lub późniejsze postępowanie wyjaśniające w sprawie skargi podważają tożsamość skarżącego, CLPO może zwrócić się do organu publicznego w kwalifikującym się państwie o dodatkowe informacje w sposób, który nie ujawnia źródeł lub metod wywiadowczych lub w inny sposób wskazuje, czy dana osoba faktycznie była przedmiotem działań w zakresie rozpoznania radioelektronicznego”.</w:t>
      </w:r>
    </w:p>
  </w:footnote>
  <w:footnote w:id="4">
    <w:p w14:paraId="3E98DCBB" w14:textId="6FD117D1" w:rsidR="0022050D" w:rsidRDefault="00750E3C">
      <w:pPr>
        <w:pStyle w:val="Footnote10"/>
        <w:jc w:val="both"/>
      </w:pPr>
      <w:r>
        <w:rPr>
          <w:rStyle w:val="Footnote1"/>
        </w:rPr>
        <w:footnoteRef/>
      </w:r>
      <w:r w:rsidR="00685A42">
        <w:rPr>
          <w:rStyle w:val="Footnote1"/>
        </w:rPr>
        <w:t xml:space="preserve"> </w:t>
      </w:r>
      <w:r>
        <w:rPr>
          <w:rStyle w:val="Footnote1"/>
        </w:rPr>
        <w:t>Sekcja E ust. 1 lit. f) ICD stanowi, że: „Jeżeli CLPO stwierdzi, że skarga nie jest skargą kwalifikującą, ponieważ nie spełnia warunków określonych w sekcji E</w:t>
      </w:r>
      <w:r w:rsidR="00E3585D">
        <w:rPr>
          <w:rStyle w:val="Footnote1"/>
        </w:rPr>
        <w:t xml:space="preserve"> ust. 1 lit. </w:t>
      </w:r>
      <w:r>
        <w:rPr>
          <w:rStyle w:val="Footnote1"/>
        </w:rPr>
        <w:t>c</w:t>
      </w:r>
      <w:r w:rsidR="00E3585D">
        <w:rPr>
          <w:rStyle w:val="Footnote1"/>
        </w:rPr>
        <w:t>)</w:t>
      </w:r>
      <w:r>
        <w:rPr>
          <w:rStyle w:val="Footnote1"/>
        </w:rPr>
        <w:t xml:space="preserve"> lub nie spełnia warunków określonych w sekcji E</w:t>
      </w:r>
      <w:r w:rsidR="00E3585D">
        <w:rPr>
          <w:rStyle w:val="Footnote1"/>
        </w:rPr>
        <w:t xml:space="preserve"> ust. </w:t>
      </w:r>
      <w:r>
        <w:rPr>
          <w:rStyle w:val="Footnote1"/>
        </w:rPr>
        <w:t>1</w:t>
      </w:r>
      <w:r w:rsidR="00E3585D">
        <w:rPr>
          <w:rStyle w:val="Footnote1"/>
        </w:rPr>
        <w:t xml:space="preserve"> lit. d)</w:t>
      </w:r>
      <w:r>
        <w:rPr>
          <w:rStyle w:val="Footnote1"/>
        </w:rPr>
        <w:t xml:space="preserve"> niniejszej dyrektywy, CLPO przekaże właściwemu organowi publicznemu w stanie kwalifikującym pisemne powiadomienie o brakach w skardze za pośrednictwem </w:t>
      </w:r>
      <w:r>
        <w:rPr>
          <w:rStyle w:val="Footnote1"/>
          <w:b/>
        </w:rPr>
        <w:t xml:space="preserve">zaszyfrowanej komunikacji elektronicznej i w języku angielskim.”; </w:t>
      </w:r>
    </w:p>
  </w:footnote>
  <w:footnote w:id="5">
    <w:p w14:paraId="0958C94E" w14:textId="0C40D115" w:rsidR="0022050D" w:rsidRDefault="00750E3C">
      <w:pPr>
        <w:pStyle w:val="Footnote10"/>
      </w:pPr>
      <w:r>
        <w:rPr>
          <w:rStyle w:val="Footnote1"/>
        </w:rPr>
        <w:footnoteRef/>
      </w:r>
      <w:r w:rsidR="00526838">
        <w:rPr>
          <w:rStyle w:val="Footnote1"/>
        </w:rPr>
        <w:t xml:space="preserve"> </w:t>
      </w:r>
      <w:r>
        <w:rPr>
          <w:rStyle w:val="Footnote1"/>
        </w:rPr>
        <w:t xml:space="preserve">Sekcja 3 lit. d) </w:t>
      </w:r>
      <w:proofErr w:type="spellStart"/>
      <w:r>
        <w:rPr>
          <w:rStyle w:val="Footnote1"/>
        </w:rPr>
        <w:t>ppkt</w:t>
      </w:r>
      <w:proofErr w:type="spellEnd"/>
      <w:r>
        <w:rPr>
          <w:rStyle w:val="Footnote1"/>
        </w:rPr>
        <w:t xml:space="preserve"> (v) </w:t>
      </w:r>
      <w:proofErr w:type="spellStart"/>
      <w:r>
        <w:rPr>
          <w:rStyle w:val="Footnote1"/>
        </w:rPr>
        <w:t>ppkt</w:t>
      </w:r>
      <w:proofErr w:type="spellEnd"/>
      <w:r>
        <w:rPr>
          <w:rStyle w:val="Footnote1"/>
        </w:rPr>
        <w:t xml:space="preserve"> C rozporządzenia wykonawczego 14086.</w:t>
      </w:r>
    </w:p>
  </w:footnote>
  <w:footnote w:id="6">
    <w:p w14:paraId="2E2F60DF" w14:textId="4D786BB2" w:rsidR="0022050D" w:rsidRDefault="00750E3C">
      <w:pPr>
        <w:pStyle w:val="Footnote10"/>
        <w:jc w:val="both"/>
      </w:pPr>
      <w:r>
        <w:rPr>
          <w:rStyle w:val="Footnote1"/>
        </w:rPr>
        <w:footnoteRef/>
      </w:r>
      <w:r w:rsidR="00526838">
        <w:rPr>
          <w:rStyle w:val="Footnote1"/>
        </w:rPr>
        <w:t xml:space="preserve"> </w:t>
      </w:r>
      <w:r>
        <w:rPr>
          <w:rStyle w:val="Footnote1"/>
        </w:rPr>
        <w:t>„BTLE ESG” odnosi się do podgrupy EROD ds. granic, podróży i egzekwowania prawa.</w:t>
      </w:r>
    </w:p>
  </w:footnote>
  <w:footnote w:id="7">
    <w:p w14:paraId="6AA412F1" w14:textId="348710F8" w:rsidR="0022050D" w:rsidRDefault="00750E3C">
      <w:pPr>
        <w:pStyle w:val="Footnote10"/>
      </w:pPr>
      <w:r>
        <w:rPr>
          <w:rStyle w:val="Footnote1"/>
        </w:rPr>
        <w:footnoteRef/>
      </w:r>
      <w:r w:rsidR="00526838">
        <w:rPr>
          <w:rStyle w:val="Footnote1"/>
        </w:rPr>
        <w:t xml:space="preserve"> </w:t>
      </w:r>
      <w:r>
        <w:rPr>
          <w:rStyle w:val="Footnote1"/>
        </w:rPr>
        <w:t>Zob. przypis 4.</w:t>
      </w:r>
    </w:p>
  </w:footnote>
  <w:footnote w:id="8">
    <w:p w14:paraId="33778FC7" w14:textId="1FC85E63" w:rsidR="0022050D" w:rsidRDefault="00750E3C">
      <w:pPr>
        <w:pStyle w:val="Footnote10"/>
      </w:pPr>
      <w:r>
        <w:rPr>
          <w:rStyle w:val="Footnote1"/>
        </w:rPr>
        <w:footnoteRef/>
      </w:r>
      <w:r w:rsidR="00526838">
        <w:rPr>
          <w:rStyle w:val="Footnote1"/>
        </w:rPr>
        <w:t xml:space="preserve"> </w:t>
      </w:r>
      <w:r>
        <w:rPr>
          <w:rStyle w:val="Footnote1"/>
        </w:rPr>
        <w:t xml:space="preserve">Sekcja 3 lit. d) </w:t>
      </w:r>
      <w:proofErr w:type="spellStart"/>
      <w:r>
        <w:rPr>
          <w:rStyle w:val="Footnote1"/>
        </w:rPr>
        <w:t>ppkt</w:t>
      </w:r>
      <w:proofErr w:type="spellEnd"/>
      <w:r>
        <w:rPr>
          <w:rStyle w:val="Footnote1"/>
        </w:rPr>
        <w:t xml:space="preserve"> (v) </w:t>
      </w:r>
      <w:proofErr w:type="spellStart"/>
      <w:r>
        <w:rPr>
          <w:rStyle w:val="Footnote1"/>
        </w:rPr>
        <w:t>ppkt</w:t>
      </w:r>
      <w:proofErr w:type="spellEnd"/>
      <w:r>
        <w:rPr>
          <w:rStyle w:val="Footnote1"/>
        </w:rPr>
        <w:t xml:space="preserve"> C rozporządzenia wykonawczego 14086</w:t>
      </w:r>
    </w:p>
  </w:footnote>
  <w:footnote w:id="9">
    <w:p w14:paraId="0CD3922C" w14:textId="64D9C3D2" w:rsidR="0022050D" w:rsidRDefault="00750E3C">
      <w:pPr>
        <w:pStyle w:val="Footnote10"/>
      </w:pPr>
      <w:r>
        <w:rPr>
          <w:rStyle w:val="Footnote1"/>
        </w:rPr>
        <w:footnoteRef/>
      </w:r>
      <w:r w:rsidR="00526838">
        <w:rPr>
          <w:rStyle w:val="Footnote1"/>
        </w:rPr>
        <w:t xml:space="preserve"> </w:t>
      </w:r>
      <w:r>
        <w:rPr>
          <w:rStyle w:val="Footnote1"/>
        </w:rPr>
        <w:t xml:space="preserve">Sekcja 3 lit. d) </w:t>
      </w:r>
      <w:proofErr w:type="spellStart"/>
      <w:r>
        <w:rPr>
          <w:rStyle w:val="Footnote1"/>
        </w:rPr>
        <w:t>ppkt</w:t>
      </w:r>
      <w:proofErr w:type="spellEnd"/>
      <w:r>
        <w:rPr>
          <w:rStyle w:val="Footnote1"/>
        </w:rPr>
        <w:t xml:space="preserve"> (v) </w:t>
      </w:r>
      <w:proofErr w:type="spellStart"/>
      <w:r>
        <w:rPr>
          <w:rStyle w:val="Footnote1"/>
        </w:rPr>
        <w:t>ppkt</w:t>
      </w:r>
      <w:proofErr w:type="spellEnd"/>
      <w:r>
        <w:rPr>
          <w:rStyle w:val="Footnote1"/>
        </w:rPr>
        <w:t xml:space="preserve"> C rozporządzenia wykonawczego 14086.</w:t>
      </w:r>
    </w:p>
  </w:footnote>
  <w:footnote w:id="10">
    <w:p w14:paraId="2B9B6366" w14:textId="113A308D" w:rsidR="0022050D" w:rsidRDefault="00750E3C">
      <w:pPr>
        <w:pStyle w:val="Footnote10"/>
        <w:jc w:val="both"/>
      </w:pPr>
      <w:r>
        <w:rPr>
          <w:rStyle w:val="Footnote1"/>
        </w:rPr>
        <w:footnoteRef/>
      </w:r>
      <w:r w:rsidR="00526838">
        <w:rPr>
          <w:rStyle w:val="Footnote1"/>
        </w:rPr>
        <w:t xml:space="preserve"> </w:t>
      </w:r>
      <w:r>
        <w:rPr>
          <w:rStyle w:val="Footnote1"/>
        </w:rPr>
        <w:t xml:space="preserve">Rozporządzenie wykonawcze 14086, sekcja 4 lit. k) </w:t>
      </w:r>
      <w:proofErr w:type="spellStart"/>
      <w:r>
        <w:rPr>
          <w:rStyle w:val="Footnote1"/>
        </w:rPr>
        <w:t>ppkt</w:t>
      </w:r>
      <w:proofErr w:type="spellEnd"/>
      <w:r>
        <w:rPr>
          <w:rStyle w:val="Footnote1"/>
        </w:rPr>
        <w:t xml:space="preserve"> (v) i) dyrektywy Wspólnoty Wywiadowczej (ICD), sekcje E ust. 1 lit. c) pkt 8 i E ust. 1 lit. e).</w:t>
      </w:r>
    </w:p>
  </w:footnote>
  <w:footnote w:id="11">
    <w:p w14:paraId="0341097D" w14:textId="00653BDC" w:rsidR="0022050D" w:rsidRDefault="00750E3C">
      <w:pPr>
        <w:pStyle w:val="Footnote10"/>
      </w:pPr>
      <w:r>
        <w:rPr>
          <w:rStyle w:val="Footnote1"/>
        </w:rPr>
        <w:footnoteRef/>
      </w:r>
      <w:r w:rsidR="00526838">
        <w:rPr>
          <w:rStyle w:val="Footnote1"/>
        </w:rPr>
        <w:t xml:space="preserve"> </w:t>
      </w:r>
      <w:r>
        <w:rPr>
          <w:rStyle w:val="Footnote1"/>
        </w:rPr>
        <w:t xml:space="preserve">Rozporządzenie wykonawcze 14086, sekcja 4 lit. k) </w:t>
      </w:r>
      <w:proofErr w:type="spellStart"/>
      <w:r>
        <w:rPr>
          <w:rStyle w:val="Footnote1"/>
        </w:rPr>
        <w:t>ppkt</w:t>
      </w:r>
      <w:proofErr w:type="spellEnd"/>
      <w:r>
        <w:rPr>
          <w:rStyle w:val="Footnote1"/>
        </w:rPr>
        <w:t xml:space="preserve"> (v) oraz) dyrektywa Wspólnoty Wywiadowczej (ICD), sekcja E pkt 1 lit. c) </w:t>
      </w:r>
      <w:proofErr w:type="spellStart"/>
      <w:r>
        <w:rPr>
          <w:rStyle w:val="Footnote1"/>
        </w:rPr>
        <w:t>ppkt</w:t>
      </w:r>
      <w:proofErr w:type="spellEnd"/>
      <w:r>
        <w:rPr>
          <w:rStyle w:val="Footnote1"/>
        </w:rPr>
        <w:t xml:space="preserve"> 8.</w:t>
      </w:r>
    </w:p>
  </w:footnote>
  <w:footnote w:id="12">
    <w:p w14:paraId="7115B42F" w14:textId="5617EEF9" w:rsidR="0022050D" w:rsidRDefault="00750E3C">
      <w:pPr>
        <w:pStyle w:val="Footnote10"/>
        <w:jc w:val="both"/>
      </w:pPr>
      <w:r>
        <w:rPr>
          <w:rStyle w:val="Footnote1"/>
        </w:rPr>
        <w:footnoteRef/>
      </w:r>
      <w:r w:rsidR="00043427">
        <w:rPr>
          <w:rStyle w:val="Footnote1"/>
        </w:rPr>
        <w:t xml:space="preserve"> Tytuł </w:t>
      </w:r>
      <w:r>
        <w:rPr>
          <w:rStyle w:val="Footnote1"/>
        </w:rPr>
        <w:t xml:space="preserve">28 </w:t>
      </w:r>
      <w:r w:rsidR="00043427">
        <w:rPr>
          <w:rStyle w:val="Footnote1"/>
        </w:rPr>
        <w:t>kodeksu przepisów federalnych (</w:t>
      </w:r>
      <w:r>
        <w:rPr>
          <w:rStyle w:val="Footnote1"/>
        </w:rPr>
        <w:t>CFR</w:t>
      </w:r>
      <w:r w:rsidR="00043427">
        <w:rPr>
          <w:rStyle w:val="Footnote1"/>
        </w:rPr>
        <w:t>)</w:t>
      </w:r>
      <w:r>
        <w:rPr>
          <w:rStyle w:val="Footnote1"/>
        </w:rPr>
        <w:t xml:space="preserve"> § 201.6 lit. a) rozporządzenia o Prokuratorze Generalnym stanowi, że skarżący „może złożyć wniosek o </w:t>
      </w:r>
      <w:r w:rsidR="00AB2638">
        <w:rPr>
          <w:rStyle w:val="Footnote1"/>
        </w:rPr>
        <w:t>kontrolę</w:t>
      </w:r>
      <w:r>
        <w:rPr>
          <w:rStyle w:val="Footnote1"/>
        </w:rPr>
        <w:t xml:space="preserve"> przez DPRC ustalenia dokonanego przez </w:t>
      </w:r>
      <w:r w:rsidR="00AB2638">
        <w:rPr>
          <w:rStyle w:val="Footnote1"/>
        </w:rPr>
        <w:t>ODNI CLPO</w:t>
      </w:r>
      <w:r>
        <w:rPr>
          <w:rStyle w:val="Footnote1"/>
        </w:rPr>
        <w:t xml:space="preserve"> w odpowiedzi na kwalifikującą się skargę złożoną przez skarżącego, składając wniosek o ponowne rozpatrzenie do </w:t>
      </w:r>
      <w:r>
        <w:rPr>
          <w:rStyle w:val="Footnote1"/>
          <w:u w:val="single"/>
        </w:rPr>
        <w:t>odpowiedniego organu publicznego</w:t>
      </w:r>
      <w:r>
        <w:rPr>
          <w:rStyle w:val="Footnote1"/>
        </w:rPr>
        <w:t xml:space="preserve"> w kwalifikującym się państwie, w celu przekazania do OPCL nie później niż sześćdziesiąt (60) dni po dacie </w:t>
      </w:r>
      <w:r>
        <w:rPr>
          <w:rStyle w:val="Footnote1"/>
          <w:u w:val="single"/>
        </w:rPr>
        <w:t>zgłoszonej OPCL przez odpowiedni organ publiczny w kwalifikującym się państwie,</w:t>
      </w:r>
      <w:r>
        <w:rPr>
          <w:rStyle w:val="Footnote1"/>
        </w:rPr>
        <w:t xml:space="preserve"> w której skarżący otrzymuje powiadomienie, że </w:t>
      </w:r>
      <w:r w:rsidR="00056276">
        <w:rPr>
          <w:rStyle w:val="Footnote1"/>
        </w:rPr>
        <w:t xml:space="preserve">ODNI CLPO </w:t>
      </w:r>
      <w:r>
        <w:rPr>
          <w:rStyle w:val="Footnote1"/>
        </w:rPr>
        <w:t xml:space="preserve">zakończył </w:t>
      </w:r>
      <w:r w:rsidR="00056276">
        <w:rPr>
          <w:rStyle w:val="Footnote1"/>
        </w:rPr>
        <w:t>kontrolę</w:t>
      </w:r>
      <w:r>
        <w:rPr>
          <w:rStyle w:val="Footnote1"/>
        </w:rPr>
        <w:t xml:space="preserve">”; zob. również 28 CFR 201.10 rozporządzenia prokuratora generalnego stanowiącego, że rozporządzenie wykonawcze 14086 i jego warunki są interpretowane przez DPRC </w:t>
      </w:r>
      <w:r>
        <w:rPr>
          <w:rStyle w:val="Footnote1"/>
          <w:u w:val="single"/>
        </w:rPr>
        <w:t>wyłącznie</w:t>
      </w:r>
      <w:r>
        <w:rPr>
          <w:rStyle w:val="Footnote1"/>
        </w:rPr>
        <w:t xml:space="preserve"> w świetle prawa Stanów Zjednoczonych i tradycji prawnej Stanów Zjednoczonych oraz że kontrola wniosku przez DPRC odbywa się na podstawie odpowiednich orzeczeń Sądu Najwyższego Stanów Zjednoczonych w taki sam sposób, jak w przypadku sądów ustanowionych na mocy art. III konstytucji Stanów Zjednoczonych.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D7F67"/>
    <w:multiLevelType w:val="multilevel"/>
    <w:tmpl w:val="CC58E37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42"/>
        <w:szCs w:val="4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D43A01"/>
    <w:multiLevelType w:val="multilevel"/>
    <w:tmpl w:val="E0C2022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42"/>
        <w:szCs w:val="4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AB66BEE"/>
    <w:multiLevelType w:val="multilevel"/>
    <w:tmpl w:val="B71AD9B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42"/>
        <w:szCs w:val="4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C731A4"/>
    <w:multiLevelType w:val="multilevel"/>
    <w:tmpl w:val="52A847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33333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C506224"/>
    <w:multiLevelType w:val="multilevel"/>
    <w:tmpl w:val="AFBC4F9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50D"/>
    <w:rsid w:val="00042FC9"/>
    <w:rsid w:val="00043427"/>
    <w:rsid w:val="00056276"/>
    <w:rsid w:val="0022050D"/>
    <w:rsid w:val="00350747"/>
    <w:rsid w:val="00396595"/>
    <w:rsid w:val="004026CB"/>
    <w:rsid w:val="0044553C"/>
    <w:rsid w:val="004523D0"/>
    <w:rsid w:val="00491BF3"/>
    <w:rsid w:val="00503489"/>
    <w:rsid w:val="00526838"/>
    <w:rsid w:val="00555312"/>
    <w:rsid w:val="005C0EA7"/>
    <w:rsid w:val="005D5A6F"/>
    <w:rsid w:val="006132E3"/>
    <w:rsid w:val="0067185A"/>
    <w:rsid w:val="00685A42"/>
    <w:rsid w:val="00750E3C"/>
    <w:rsid w:val="00767923"/>
    <w:rsid w:val="00853DA5"/>
    <w:rsid w:val="009B5997"/>
    <w:rsid w:val="00AB2638"/>
    <w:rsid w:val="00C846AF"/>
    <w:rsid w:val="00D211AB"/>
    <w:rsid w:val="00DA6905"/>
    <w:rsid w:val="00DB4C53"/>
    <w:rsid w:val="00DD0640"/>
    <w:rsid w:val="00E3585D"/>
    <w:rsid w:val="00E71585"/>
    <w:rsid w:val="00EA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9246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1">
    <w:name w:val="Footnote|1_"/>
    <w:basedOn w:val="Domylnaczcionkaakapitu"/>
    <w:link w:val="Footnote10"/>
    <w:rPr>
      <w:b w:val="0"/>
      <w:i w:val="0"/>
      <w:smallCaps w:val="0"/>
      <w:strike w:val="0"/>
      <w:sz w:val="20"/>
      <w:u w:val="none"/>
    </w:rPr>
  </w:style>
  <w:style w:type="character" w:customStyle="1" w:styleId="Picturecaption1">
    <w:name w:val="Picture caption|1_"/>
    <w:basedOn w:val="Domylnaczcionkaakapitu"/>
    <w:link w:val="Picturecaption10"/>
    <w:rPr>
      <w:rFonts w:ascii="Calibri" w:eastAsia="Calibri" w:hAnsi="Calibri" w:cs="Calibri"/>
      <w:b w:val="0"/>
      <w:i w:val="0"/>
      <w:smallCaps w:val="0"/>
      <w:strike w:val="0"/>
      <w:color w:val="B8B8B8"/>
      <w:sz w:val="14"/>
      <w:u w:val="none"/>
    </w:rPr>
  </w:style>
  <w:style w:type="character" w:customStyle="1" w:styleId="Bodytext2">
    <w:name w:val="Body text|2_"/>
    <w:basedOn w:val="Domylnaczcionkaakapitu"/>
    <w:link w:val="Bodytext20"/>
    <w:rPr>
      <w:rFonts w:ascii="Calibri" w:eastAsia="Calibri" w:hAnsi="Calibri" w:cs="Calibri"/>
      <w:b/>
      <w:i w:val="0"/>
      <w:smallCaps w:val="0"/>
      <w:strike w:val="0"/>
      <w:color w:val="004494"/>
      <w:sz w:val="36"/>
      <w:u w:val="none"/>
    </w:rPr>
  </w:style>
  <w:style w:type="character" w:customStyle="1" w:styleId="Bodytext3">
    <w:name w:val="Body text|3_"/>
    <w:basedOn w:val="Domylnaczcionkaakapitu"/>
    <w:link w:val="Bodytext30"/>
    <w:rPr>
      <w:rFonts w:ascii="Calibri" w:eastAsia="Calibri" w:hAnsi="Calibri" w:cs="Calibri"/>
      <w:b/>
      <w:i w:val="0"/>
      <w:smallCaps w:val="0"/>
      <w:strike w:val="0"/>
      <w:color w:val="004494"/>
      <w:sz w:val="32"/>
      <w:u w:val="none"/>
    </w:rPr>
  </w:style>
  <w:style w:type="character" w:customStyle="1" w:styleId="Bodytext1">
    <w:name w:val="Body text|1_"/>
    <w:basedOn w:val="Domylnaczcionkaakapitu"/>
    <w:link w:val="Bodytext10"/>
    <w:rPr>
      <w:b w:val="0"/>
      <w:i w:val="0"/>
      <w:smallCaps w:val="0"/>
      <w:strike w:val="0"/>
      <w:color w:val="333333"/>
      <w:u w:val="none"/>
    </w:rPr>
  </w:style>
  <w:style w:type="character" w:customStyle="1" w:styleId="Headerorfooter2">
    <w:name w:val="Header or footer|2_"/>
    <w:basedOn w:val="Domylnaczcionkaakapitu"/>
    <w:link w:val="Headerorfooter20"/>
    <w:rPr>
      <w:b w:val="0"/>
      <w:i w:val="0"/>
      <w:smallCaps w:val="0"/>
      <w:strike w:val="0"/>
      <w:sz w:val="20"/>
      <w:u w:val="none"/>
    </w:rPr>
  </w:style>
  <w:style w:type="character" w:customStyle="1" w:styleId="Heading11">
    <w:name w:val="Heading #1|1_"/>
    <w:basedOn w:val="Domylnaczcionkaakapitu"/>
    <w:link w:val="Heading110"/>
    <w:rPr>
      <w:b/>
      <w:i w:val="0"/>
      <w:smallCaps w:val="0"/>
      <w:strike w:val="0"/>
      <w:color w:val="333333"/>
      <w:u w:val="none"/>
    </w:rPr>
  </w:style>
  <w:style w:type="paragraph" w:customStyle="1" w:styleId="Footnote10">
    <w:name w:val="Footnote|1"/>
    <w:basedOn w:val="Normalny"/>
    <w:link w:val="Footnote1"/>
    <w:rPr>
      <w:sz w:val="20"/>
    </w:rPr>
  </w:style>
  <w:style w:type="paragraph" w:customStyle="1" w:styleId="Picturecaption10">
    <w:name w:val="Picture caption|1"/>
    <w:basedOn w:val="Normalny"/>
    <w:link w:val="Picturecaption1"/>
    <w:pPr>
      <w:spacing w:line="180" w:lineRule="auto"/>
      <w:ind w:firstLine="190"/>
    </w:pPr>
    <w:rPr>
      <w:rFonts w:ascii="Calibri" w:eastAsia="Calibri" w:hAnsi="Calibri" w:cs="Calibri"/>
      <w:color w:val="B8B8B8"/>
      <w:sz w:val="14"/>
    </w:rPr>
  </w:style>
  <w:style w:type="paragraph" w:customStyle="1" w:styleId="Bodytext20">
    <w:name w:val="Body text|2"/>
    <w:basedOn w:val="Normalny"/>
    <w:link w:val="Bodytext2"/>
    <w:pPr>
      <w:spacing w:after="480" w:line="271" w:lineRule="auto"/>
      <w:jc w:val="center"/>
    </w:pPr>
    <w:rPr>
      <w:rFonts w:ascii="Calibri" w:eastAsia="Calibri" w:hAnsi="Calibri" w:cs="Calibri"/>
      <w:b/>
      <w:color w:val="004494"/>
      <w:sz w:val="36"/>
    </w:rPr>
  </w:style>
  <w:style w:type="paragraph" w:customStyle="1" w:styleId="Bodytext30">
    <w:name w:val="Body text|3"/>
    <w:basedOn w:val="Normalny"/>
    <w:link w:val="Bodytext3"/>
    <w:pPr>
      <w:spacing w:after="480"/>
      <w:jc w:val="center"/>
    </w:pPr>
    <w:rPr>
      <w:rFonts w:ascii="Calibri" w:eastAsia="Calibri" w:hAnsi="Calibri" w:cs="Calibri"/>
      <w:b/>
      <w:color w:val="004494"/>
      <w:sz w:val="32"/>
    </w:rPr>
  </w:style>
  <w:style w:type="paragraph" w:customStyle="1" w:styleId="Bodytext10">
    <w:name w:val="Body text|1"/>
    <w:basedOn w:val="Normalny"/>
    <w:link w:val="Bodytext1"/>
    <w:pPr>
      <w:spacing w:after="160"/>
    </w:pPr>
    <w:rPr>
      <w:color w:val="333333"/>
    </w:rPr>
  </w:style>
  <w:style w:type="paragraph" w:customStyle="1" w:styleId="Headerorfooter20">
    <w:name w:val="Header or footer|2"/>
    <w:basedOn w:val="Normalny"/>
    <w:link w:val="Headerorfooter2"/>
    <w:rPr>
      <w:sz w:val="20"/>
    </w:rPr>
  </w:style>
  <w:style w:type="paragraph" w:customStyle="1" w:styleId="Heading110">
    <w:name w:val="Heading #1|1"/>
    <w:basedOn w:val="Normalny"/>
    <w:link w:val="Heading11"/>
    <w:pPr>
      <w:spacing w:after="160"/>
      <w:outlineLvl w:val="0"/>
    </w:pPr>
    <w:rPr>
      <w:b/>
      <w:color w:val="33333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69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905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D5A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5A6F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D5A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5A6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ni.gov/files/documents/ICD/ICD_126-Implementation-Procedures-for-SIGINT-Redress-Mechanism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1128</Words>
  <Characters>6768</Characters>
  <Application>Microsoft Office Word</Application>
  <DocSecurity>0</DocSecurity>
  <Lines>56</Lines>
  <Paragraphs>15</Paragraphs>
  <ScaleCrop>false</ScaleCrop>
  <Company/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2024-07-26T12:32:00Z</dcterms:created>
  <dcterms:modified xsi:type="dcterms:W3CDTF">2024-07-26T12:32:00Z</dcterms:modified>
</cp:coreProperties>
</file>